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single" w:color="1B3A5C" w:sz="3"/>
              <w:left w:val="none" w:color="FFFFFF" w:sz="0"/>
              <w:bottom w:val="single" w:color="1B3A5C" w:sz="3"/>
              <w:right w:val="none" w:color="FFFFFF" w:sz="0"/>
            </w:tcBorders>
            <w:shd w:fill="1B3A5C" w:val="clear"/>
            <w:tcMar>
              <w:top w:type="dxa" w:w="100"/>
              <w:left w:type="dxa" w:w="200"/>
              <w:bottom w:type="dxa" w:w="100"/>
              <w:right w:type="dxa" w:w="200"/>
            </w:tcMar>
          </w:tcPr>
          <w:p>
            <w:r>
              <w:rPr>
                <w:rFonts w:ascii="Arial" w:cs="Arial" w:eastAsia="Arial" w:hAnsi="Arial"/>
                <w:b/>
                <w:bCs/>
                <w:color w:val="FFFFFF"/>
                <w:sz w:val="28"/>
                <w:szCs w:val="28"/>
              </w:rPr>
              <w:t xml:space="preserve">CLIENT FILE NOTE</w:t>
            </w:r>
          </w:p>
        </w:tc>
      </w:tr>
    </w:tbl>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00"/>
        <w:gridCol w:w="6826"/>
      </w:tblGrid>
      <w:tr>
        <w:tc>
          <w:tcPr>
            <w:tcW w:type="dxa" w:w="2200"/>
            <w:tcBorders>
              <w:top w:val="none" w:color="FFFFFF" w:sz="0"/>
              <w:left w:val="none" w:color="FFFFFF" w:sz="0"/>
              <w:bottom w:val="single" w:color="E8E8E8" w:sz="1"/>
              <w:right w:val="none" w:color="FFFFFF" w:sz="0"/>
            </w:tcBorders>
            <w:shd w:fill="F9F9F9" w:val="clear"/>
            <w:tcMar>
              <w:top w:type="dxa" w:w="60"/>
              <w:left w:type="dxa" w:w="100"/>
              <w:bottom w:type="dxa" w:w="60"/>
              <w:right w:type="dxa" w:w="100"/>
            </w:tcMar>
          </w:tcPr>
          <w:p>
            <w:r>
              <w:rPr>
                <w:rFonts w:ascii="Arial" w:cs="Arial" w:eastAsia="Arial" w:hAnsi="Arial"/>
                <w:b/>
                <w:bCs/>
                <w:color w:val="666666"/>
                <w:sz w:val="18"/>
                <w:szCs w:val="18"/>
              </w:rPr>
              <w:t xml:space="preserve">Client:</w:t>
            </w:r>
          </w:p>
        </w:tc>
        <w:tc>
          <w:tcPr>
            <w:tcW w:type="dxa" w:w="6826"/>
            <w:tcBorders>
              <w:top w:val="none" w:color="FFFFFF" w:sz="0"/>
              <w:left w:val="none" w:color="FFFFFF" w:sz="0"/>
              <w:bottom w:val="single" w:color="E8E8E8" w:sz="1"/>
              <w:right w:val="none" w:color="FFFFFF" w:sz="0"/>
            </w:tcBorders>
            <w:tcMar>
              <w:top w:type="dxa" w:w="60"/>
              <w:left w:type="dxa" w:w="100"/>
              <w:bottom w:type="dxa" w:w="60"/>
              <w:right w:type="dxa" w:w="100"/>
            </w:tcMar>
          </w:tcPr>
          <w:p>
            <w:r>
              <w:rPr>
                <w:rFonts w:ascii="Arial" w:cs="Arial" w:eastAsia="Arial" w:hAnsi="Arial"/>
                <w:sz w:val="20"/>
                <w:szCs w:val="20"/>
              </w:rPr>
              <w:t xml:space="preserve">Mark &amp; Sarah Henderson</w:t>
            </w:r>
          </w:p>
        </w:tc>
      </w:tr>
      <w:tr>
        <w:tc>
          <w:tcPr>
            <w:tcW w:type="dxa" w:w="2200"/>
            <w:tcBorders>
              <w:top w:val="none" w:color="FFFFFF" w:sz="0"/>
              <w:left w:val="none" w:color="FFFFFF" w:sz="0"/>
              <w:bottom w:val="single" w:color="E8E8E8" w:sz="1"/>
              <w:right w:val="none" w:color="FFFFFF" w:sz="0"/>
            </w:tcBorders>
            <w:shd w:fill="F9F9F9" w:val="clear"/>
            <w:tcMar>
              <w:top w:type="dxa" w:w="60"/>
              <w:left w:type="dxa" w:w="100"/>
              <w:bottom w:type="dxa" w:w="60"/>
              <w:right w:type="dxa" w:w="100"/>
            </w:tcMar>
          </w:tcPr>
          <w:p>
            <w:r>
              <w:rPr>
                <w:rFonts w:ascii="Arial" w:cs="Arial" w:eastAsia="Arial" w:hAnsi="Arial"/>
                <w:b/>
                <w:bCs/>
                <w:color w:val="666666"/>
                <w:sz w:val="18"/>
                <w:szCs w:val="18"/>
              </w:rPr>
              <w:t xml:space="preserve">Meeting Date:</w:t>
            </w:r>
          </w:p>
        </w:tc>
        <w:tc>
          <w:tcPr>
            <w:tcW w:type="dxa" w:w="6826"/>
            <w:tcBorders>
              <w:top w:val="none" w:color="FFFFFF" w:sz="0"/>
              <w:left w:val="none" w:color="FFFFFF" w:sz="0"/>
              <w:bottom w:val="single" w:color="E8E8E8" w:sz="1"/>
              <w:right w:val="none" w:color="FFFFFF" w:sz="0"/>
            </w:tcBorders>
            <w:tcMar>
              <w:top w:type="dxa" w:w="60"/>
              <w:left w:type="dxa" w:w="100"/>
              <w:bottom w:type="dxa" w:w="60"/>
              <w:right w:type="dxa" w:w="100"/>
            </w:tcMar>
          </w:tcPr>
          <w:p>
            <w:r>
              <w:rPr>
                <w:rFonts w:ascii="Arial" w:cs="Arial" w:eastAsia="Arial" w:hAnsi="Arial"/>
                <w:sz w:val="20"/>
                <w:szCs w:val="20"/>
              </w:rPr>
              <w:t xml:space="preserve">22 June 2025</w:t>
            </w:r>
          </w:p>
        </w:tc>
      </w:tr>
      <w:tr>
        <w:tc>
          <w:tcPr>
            <w:tcW w:type="dxa" w:w="2200"/>
            <w:tcBorders>
              <w:top w:val="none" w:color="FFFFFF" w:sz="0"/>
              <w:left w:val="none" w:color="FFFFFF" w:sz="0"/>
              <w:bottom w:val="single" w:color="E8E8E8" w:sz="1"/>
              <w:right w:val="none" w:color="FFFFFF" w:sz="0"/>
            </w:tcBorders>
            <w:shd w:fill="F9F9F9" w:val="clear"/>
            <w:tcMar>
              <w:top w:type="dxa" w:w="60"/>
              <w:left w:type="dxa" w:w="100"/>
              <w:bottom w:type="dxa" w:w="60"/>
              <w:right w:type="dxa" w:w="100"/>
            </w:tcMar>
          </w:tcPr>
          <w:p>
            <w:r>
              <w:rPr>
                <w:rFonts w:ascii="Arial" w:cs="Arial" w:eastAsia="Arial" w:hAnsi="Arial"/>
                <w:b/>
                <w:bCs/>
                <w:color w:val="666666"/>
                <w:sz w:val="18"/>
                <w:szCs w:val="18"/>
              </w:rPr>
              <w:t xml:space="preserve">Meeting Type:</w:t>
            </w:r>
          </w:p>
        </w:tc>
        <w:tc>
          <w:tcPr>
            <w:tcW w:type="dxa" w:w="6826"/>
            <w:tcBorders>
              <w:top w:val="none" w:color="FFFFFF" w:sz="0"/>
              <w:left w:val="none" w:color="FFFFFF" w:sz="0"/>
              <w:bottom w:val="single" w:color="E8E8E8" w:sz="1"/>
              <w:right w:val="none" w:color="FFFFFF" w:sz="0"/>
            </w:tcBorders>
            <w:tcMar>
              <w:top w:type="dxa" w:w="60"/>
              <w:left w:type="dxa" w:w="100"/>
              <w:bottom w:type="dxa" w:w="60"/>
              <w:right w:type="dxa" w:w="100"/>
            </w:tcMar>
          </w:tcPr>
          <w:p>
            <w:r>
              <w:rPr>
                <w:rFonts w:ascii="Arial" w:cs="Arial" w:eastAsia="Arial" w:hAnsi="Arial"/>
                <w:sz w:val="20"/>
                <w:szCs w:val="20"/>
              </w:rPr>
              <w:t xml:space="preserve">Annual Review</w:t>
            </w:r>
          </w:p>
        </w:tc>
      </w:tr>
      <w:tr>
        <w:tc>
          <w:tcPr>
            <w:tcW w:type="dxa" w:w="2200"/>
            <w:tcBorders>
              <w:top w:val="none" w:color="FFFFFF" w:sz="0"/>
              <w:left w:val="none" w:color="FFFFFF" w:sz="0"/>
              <w:bottom w:val="single" w:color="E8E8E8" w:sz="1"/>
              <w:right w:val="none" w:color="FFFFFF" w:sz="0"/>
            </w:tcBorders>
            <w:shd w:fill="F9F9F9" w:val="clear"/>
            <w:tcMar>
              <w:top w:type="dxa" w:w="60"/>
              <w:left w:type="dxa" w:w="100"/>
              <w:bottom w:type="dxa" w:w="60"/>
              <w:right w:type="dxa" w:w="100"/>
            </w:tcMar>
          </w:tcPr>
          <w:p>
            <w:r>
              <w:rPr>
                <w:rFonts w:ascii="Arial" w:cs="Arial" w:eastAsia="Arial" w:hAnsi="Arial"/>
                <w:b/>
                <w:bCs/>
                <w:color w:val="666666"/>
                <w:sz w:val="18"/>
                <w:szCs w:val="18"/>
              </w:rPr>
              <w:t xml:space="preserve">Adviser:</w:t>
            </w:r>
          </w:p>
        </w:tc>
        <w:tc>
          <w:tcPr>
            <w:tcW w:type="dxa" w:w="6826"/>
            <w:tcBorders>
              <w:top w:val="none" w:color="FFFFFF" w:sz="0"/>
              <w:left w:val="none" w:color="FFFFFF" w:sz="0"/>
              <w:bottom w:val="single" w:color="E8E8E8" w:sz="1"/>
              <w:right w:val="none" w:color="FFFFFF" w:sz="0"/>
            </w:tcBorders>
            <w:tcMar>
              <w:top w:type="dxa" w:w="60"/>
              <w:left w:type="dxa" w:w="100"/>
              <w:bottom w:type="dxa" w:w="60"/>
              <w:right w:type="dxa" w:w="100"/>
            </w:tcMar>
          </w:tcPr>
          <w:p>
            <w:r>
              <w:rPr>
                <w:rFonts w:ascii="Arial" w:cs="Arial" w:eastAsia="Arial" w:hAnsi="Arial"/>
                <w:sz w:val="20"/>
                <w:szCs w:val="20"/>
              </w:rPr>
              <w:t xml:space="preserve">[Adviser Name]</w:t>
            </w:r>
          </w:p>
        </w:tc>
      </w:tr>
      <w:tr>
        <w:tc>
          <w:tcPr>
            <w:tcW w:type="dxa" w:w="2200"/>
            <w:tcBorders>
              <w:top w:val="none" w:color="FFFFFF" w:sz="0"/>
              <w:left w:val="none" w:color="FFFFFF" w:sz="0"/>
              <w:bottom w:val="single" w:color="E8E8E8" w:sz="1"/>
              <w:right w:val="none" w:color="FFFFFF" w:sz="0"/>
            </w:tcBorders>
            <w:shd w:fill="F9F9F9" w:val="clear"/>
            <w:tcMar>
              <w:top w:type="dxa" w:w="60"/>
              <w:left w:type="dxa" w:w="100"/>
              <w:bottom w:type="dxa" w:w="60"/>
              <w:right w:type="dxa" w:w="100"/>
            </w:tcMar>
          </w:tcPr>
          <w:p>
            <w:r>
              <w:rPr>
                <w:rFonts w:ascii="Arial" w:cs="Arial" w:eastAsia="Arial" w:hAnsi="Arial"/>
                <w:b/>
                <w:bCs/>
                <w:color w:val="666666"/>
                <w:sz w:val="18"/>
                <w:szCs w:val="18"/>
              </w:rPr>
              <w:t xml:space="preserve">Location:</w:t>
            </w:r>
          </w:p>
        </w:tc>
        <w:tc>
          <w:tcPr>
            <w:tcW w:type="dxa" w:w="6826"/>
            <w:tcBorders>
              <w:top w:val="none" w:color="FFFFFF" w:sz="0"/>
              <w:left w:val="none" w:color="FFFFFF" w:sz="0"/>
              <w:bottom w:val="single" w:color="E8E8E8" w:sz="1"/>
              <w:right w:val="none" w:color="FFFFFF" w:sz="0"/>
            </w:tcBorders>
            <w:tcMar>
              <w:top w:type="dxa" w:w="60"/>
              <w:left w:type="dxa" w:w="100"/>
              <w:bottom w:type="dxa" w:w="60"/>
              <w:right w:type="dxa" w:w="100"/>
            </w:tcMar>
          </w:tcPr>
          <w:p>
            <w:r>
              <w:rPr>
                <w:rFonts w:ascii="Arial" w:cs="Arial" w:eastAsia="Arial" w:hAnsi="Arial"/>
                <w:sz w:val="20"/>
                <w:szCs w:val="20"/>
              </w:rPr>
              <w:t xml:space="preserve">Office – 14 Baxter Crescent, Highton (home visit)</w:t>
            </w:r>
          </w:p>
        </w:tc>
      </w:tr>
      <w:tr>
        <w:tc>
          <w:tcPr>
            <w:tcW w:type="dxa" w:w="2200"/>
            <w:tcBorders>
              <w:top w:val="none" w:color="FFFFFF" w:sz="0"/>
              <w:left w:val="none" w:color="FFFFFF" w:sz="0"/>
              <w:bottom w:val="single" w:color="E8E8E8" w:sz="1"/>
              <w:right w:val="none" w:color="FFFFFF" w:sz="0"/>
            </w:tcBorders>
            <w:shd w:fill="F9F9F9" w:val="clear"/>
            <w:tcMar>
              <w:top w:type="dxa" w:w="60"/>
              <w:left w:type="dxa" w:w="100"/>
              <w:bottom w:type="dxa" w:w="60"/>
              <w:right w:type="dxa" w:w="100"/>
            </w:tcMar>
          </w:tcPr>
          <w:p>
            <w:r>
              <w:rPr>
                <w:rFonts w:ascii="Arial" w:cs="Arial" w:eastAsia="Arial" w:hAnsi="Arial"/>
                <w:b/>
                <w:bCs/>
                <w:color w:val="666666"/>
                <w:sz w:val="18"/>
                <w:szCs w:val="18"/>
              </w:rPr>
              <w:t xml:space="preserve">Duration:</w:t>
            </w:r>
          </w:p>
        </w:tc>
        <w:tc>
          <w:tcPr>
            <w:tcW w:type="dxa" w:w="6826"/>
            <w:tcBorders>
              <w:top w:val="none" w:color="FFFFFF" w:sz="0"/>
              <w:left w:val="none" w:color="FFFFFF" w:sz="0"/>
              <w:bottom w:val="single" w:color="E8E8E8" w:sz="1"/>
              <w:right w:val="none" w:color="FFFFFF" w:sz="0"/>
            </w:tcBorders>
            <w:tcMar>
              <w:top w:type="dxa" w:w="60"/>
              <w:left w:type="dxa" w:w="100"/>
              <w:bottom w:type="dxa" w:w="60"/>
              <w:right w:type="dxa" w:w="100"/>
            </w:tcMar>
          </w:tcPr>
          <w:p>
            <w:r>
              <w:rPr>
                <w:rFonts w:ascii="Arial" w:cs="Arial" w:eastAsia="Arial" w:hAnsi="Arial"/>
                <w:sz w:val="20"/>
                <w:szCs w:val="20"/>
              </w:rPr>
              <w:t xml:space="preserve">55 minutes</w:t>
            </w:r>
          </w:p>
        </w:tc>
      </w:tr>
      <w:tr>
        <w:tc>
          <w:tcPr>
            <w:tcW w:type="dxa" w:w="2200"/>
            <w:tcBorders>
              <w:top w:val="none" w:color="FFFFFF" w:sz="0"/>
              <w:left w:val="none" w:color="FFFFFF" w:sz="0"/>
              <w:bottom w:val="single" w:color="E8E8E8" w:sz="1"/>
              <w:right w:val="none" w:color="FFFFFF" w:sz="0"/>
            </w:tcBorders>
            <w:shd w:fill="F9F9F9" w:val="clear"/>
            <w:tcMar>
              <w:top w:type="dxa" w:w="60"/>
              <w:left w:type="dxa" w:w="100"/>
              <w:bottom w:type="dxa" w:w="60"/>
              <w:right w:type="dxa" w:w="100"/>
            </w:tcMar>
          </w:tcPr>
          <w:p>
            <w:r>
              <w:rPr>
                <w:rFonts w:ascii="Arial" w:cs="Arial" w:eastAsia="Arial" w:hAnsi="Arial"/>
                <w:b/>
                <w:bCs/>
                <w:color w:val="666666"/>
                <w:sz w:val="18"/>
                <w:szCs w:val="18"/>
              </w:rPr>
              <w:t xml:space="preserve">Attendees:</w:t>
            </w:r>
          </w:p>
        </w:tc>
        <w:tc>
          <w:tcPr>
            <w:tcW w:type="dxa" w:w="6826"/>
            <w:tcBorders>
              <w:top w:val="none" w:color="FFFFFF" w:sz="0"/>
              <w:left w:val="none" w:color="FFFFFF" w:sz="0"/>
              <w:bottom w:val="single" w:color="E8E8E8" w:sz="1"/>
              <w:right w:val="none" w:color="FFFFFF" w:sz="0"/>
            </w:tcBorders>
            <w:tcMar>
              <w:top w:type="dxa" w:w="60"/>
              <w:left w:type="dxa" w:w="100"/>
              <w:bottom w:type="dxa" w:w="60"/>
              <w:right w:type="dxa" w:w="100"/>
            </w:tcMar>
          </w:tcPr>
          <w:p>
            <w:r>
              <w:rPr>
                <w:rFonts w:ascii="Arial" w:cs="Arial" w:eastAsia="Arial" w:hAnsi="Arial"/>
                <w:sz w:val="20"/>
                <w:szCs w:val="20"/>
              </w:rPr>
              <w:t xml:space="preserve">Mark Henderson, Sarah Henderson, [Adviser Name]</w:t>
            </w:r>
          </w:p>
        </w:tc>
      </w:tr>
    </w:tbl>
    <w:p>
      <w:pPr>
        <w:spacing w:after="200"/>
      </w:pPr>
    </w:p>
    <w:p>
      <w:pPr>
        <w:spacing w:after="120"/>
      </w:pPr>
      <w:r>
        <w:rPr>
          <w:rFonts w:ascii="Arial" w:cs="Arial" w:eastAsia="Arial" w:hAnsi="Arial"/>
          <w:b/>
          <w:bCs/>
          <w:color w:val="1B3A5C"/>
          <w:sz w:val="24"/>
          <w:szCs w:val="24"/>
        </w:rPr>
        <w:t xml:space="preserve">Summary of Discussion</w:t>
      </w:r>
    </w:p>
    <w:p>
      <w:pPr>
        <w:spacing w:after="120" w:line="276"/>
      </w:pPr>
      <w:r>
        <w:rPr>
          <w:rFonts w:ascii="Arial" w:cs="Arial" w:eastAsia="Arial" w:hAnsi="Arial"/>
          <w:sz w:val="20"/>
          <w:szCs w:val="20"/>
        </w:rPr>
        <w:t xml:space="preserve">Met with Mark and Sarah at their home in Highton. Both children were at school. Reviewed their overall financial position and discussed the key items from the previous review. General mood was positive – both comfortable with how things are tracking but had a few specific concerns they wanted to raise.</w:t>
      </w:r>
    </w:p>
    <w:p>
      <w:pPr>
        <w:spacing w:after="120" w:line="276"/>
      </w:pPr>
      <w:r>
        <w:rPr>
          <w:rFonts w:ascii="Arial" w:cs="Arial" w:eastAsia="Arial" w:hAnsi="Arial"/>
          <w:sz w:val="20"/>
          <w:szCs w:val="20"/>
        </w:rPr>
        <w:t xml:space="preserve">Discussed Sarah’s insurance situation in detail. She acknowledged that she has no cover at all – life, TPD, or income protection – and understood the risk this creates, particularly given she’s the primary carer for Liam and Ella. She said she’d been meaning to sort it out but hadn’t gotten around to it. Both agreed it should be addressed but Sarah asked if we could “wait until after the school holidays to action anything” as she didn’t want to deal with medical underwriting while juggling the kids at home. I explained that we could prepare the paperwork now and submit after the holiday period.</w:t>
      </w:r>
    </w:p>
    <w:p>
      <w:pPr>
        <w:spacing w:after="120" w:line="276"/>
      </w:pPr>
      <w:r>
        <w:rPr>
          <w:rFonts w:ascii="Arial" w:cs="Arial" w:eastAsia="Arial" w:hAnsi="Arial"/>
          <w:sz w:val="20"/>
          <w:szCs w:val="20"/>
        </w:rPr>
        <w:t xml:space="preserve">Reviewed the Netwealth portfolio. Both happy with the returns (up about 9% for the year). Noted the portfolio is slightly overweight Australian equities relative to the target allocation. Discussed rebalancing but Mark felt strongly that “Australian shares have been doing well so why change it.” I explained the rationale for rebalancing and the risk of concentration but they preferred to leave it for now and revisit at the next review.</w:t>
      </w:r>
    </w:p>
    <w:p>
      <w:pPr>
        <w:spacing w:after="120" w:line="276"/>
      </w:pPr>
      <w:r>
        <w:rPr>
          <w:rFonts w:ascii="Arial" w:cs="Arial" w:eastAsia="Arial" w:hAnsi="Arial"/>
          <w:sz w:val="20"/>
          <w:szCs w:val="20"/>
        </w:rPr>
        <w:t xml:space="preserve">The investment property in Ballarat came up. Mark mentioned the tenant had given notice and they’d had two weeks of vacancy before finding a new tenant at a lower rent ($425/wk down from $440/wk). The property is now clearly cash-flow negative and he’s “not sure it’s worth the hassle.” I flagged that the interest-only period on the IP loan expires in February 2026 and repayments will jump significantly. Recommended we do a full cash-flow analysis of the property before then to inform whether to hold or sell. Mark agreed this was a good idea.</w:t>
      </w:r>
    </w:p>
    <w:p>
      <w:pPr>
        <w:spacing w:after="120" w:line="276"/>
      </w:pPr>
      <w:r>
        <w:rPr>
          <w:rFonts w:ascii="Arial" w:cs="Arial" w:eastAsia="Arial" w:hAnsi="Arial"/>
          <w:sz w:val="20"/>
          <w:szCs w:val="20"/>
        </w:rPr>
        <w:t xml:space="preserve">Briefly discussed Sarah’s super balance ($98,400 in Hostplus vs Mark’s $310,200 in AustralianSuper). Both acknowledged the gap. I recommended consolidating Sarah’s Hostplus into AustralianSuper to reduce fees and simplify management. Sarah was open to this but wanted to “think about it.”</w:t>
      </w:r>
    </w:p>
    <w:p>
      <w:pPr>
        <w:spacing w:after="120" w:line="276"/>
      </w:pPr>
      <w:r>
        <w:rPr>
          <w:rFonts w:ascii="Arial" w:cs="Arial" w:eastAsia="Arial" w:hAnsi="Arial"/>
          <w:sz w:val="20"/>
          <w:szCs w:val="20"/>
        </w:rPr>
        <w:t xml:space="preserve">Confirmed ongoing fee arrangement of $3,300 p.a. (inc. GST). Both signed the DBFO consent form for the period 22 June 2025 to 21 June 2026.</w:t>
      </w:r>
    </w:p>
    <w:p>
      <w:pPr>
        <w:spacing w:after="200"/>
      </w:pPr>
    </w:p>
    <w:p>
      <w:pPr>
        <w:spacing w:after="120"/>
      </w:pPr>
      <w:r>
        <w:rPr>
          <w:rFonts w:ascii="Arial" w:cs="Arial" w:eastAsia="Arial" w:hAnsi="Arial"/>
          <w:b/>
          <w:bCs/>
          <w:color w:val="1B3A5C"/>
          <w:sz w:val="24"/>
          <w:szCs w:val="24"/>
        </w:rPr>
        <w:t xml:space="preserve">Action Items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00"/>
        <w:gridCol w:w="3726"/>
        <w:gridCol w:w="1600"/>
        <w:gridCol w:w="1600"/>
        <w:gridCol w:w="1600"/>
      </w:tblGrid>
      <w:tr>
        <w:tc>
          <w:tcPr>
            <w:tcW w:type="dxa" w:w="5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tcPr>
          <w:p>
            <w:r>
              <w:rPr>
                <w:rFonts w:ascii="Arial" w:cs="Arial" w:eastAsia="Arial" w:hAnsi="Arial"/>
                <w:b/>
                <w:bCs/>
                <w:color w:val="FFFFFF"/>
                <w:sz w:val="18"/>
                <w:szCs w:val="18"/>
              </w:rPr>
              <w:t xml:space="preserve">#</w:t>
            </w:r>
          </w:p>
        </w:tc>
        <w:tc>
          <w:tcPr>
            <w:tcW w:type="dxa" w:w="3726"/>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tcPr>
          <w:p>
            <w:r>
              <w:rPr>
                <w:rFonts w:ascii="Arial" w:cs="Arial" w:eastAsia="Arial" w:hAnsi="Arial"/>
                <w:b/>
                <w:bCs/>
                <w:color w:val="FFFFFF"/>
                <w:sz w:val="18"/>
                <w:szCs w:val="18"/>
              </w:rPr>
              <w:t xml:space="preserve">Action</w:t>
            </w:r>
          </w:p>
        </w:tc>
        <w:tc>
          <w:tcPr>
            <w:tcW w:type="dxa" w:w="16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tcPr>
          <w:p>
            <w:r>
              <w:rPr>
                <w:rFonts w:ascii="Arial" w:cs="Arial" w:eastAsia="Arial" w:hAnsi="Arial"/>
                <w:b/>
                <w:bCs/>
                <w:color w:val="FFFFFF"/>
                <w:sz w:val="18"/>
                <w:szCs w:val="18"/>
              </w:rPr>
              <w:t xml:space="preserve">Owner</w:t>
            </w:r>
          </w:p>
        </w:tc>
        <w:tc>
          <w:tcPr>
            <w:tcW w:type="dxa" w:w="16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tcPr>
          <w:p>
            <w:r>
              <w:rPr>
                <w:rFonts w:ascii="Arial" w:cs="Arial" w:eastAsia="Arial" w:hAnsi="Arial"/>
                <w:b/>
                <w:bCs/>
                <w:color w:val="FFFFFF"/>
                <w:sz w:val="18"/>
                <w:szCs w:val="18"/>
              </w:rPr>
              <w:t xml:space="preserve">Due Date</w:t>
            </w:r>
          </w:p>
        </w:tc>
        <w:tc>
          <w:tcPr>
            <w:tcW w:type="dxa" w:w="1600"/>
            <w:tcBorders>
              <w:top w:val="single" w:color="CCCCCC" w:sz="1"/>
              <w:left w:val="single" w:color="CCCCCC" w:sz="1"/>
              <w:bottom w:val="single" w:color="CCCCCC" w:sz="1"/>
              <w:right w:val="single" w:color="CCCCCC" w:sz="1"/>
            </w:tcBorders>
            <w:shd w:fill="1B3A5C" w:val="clear"/>
            <w:tcMar>
              <w:top w:type="dxa" w:w="60"/>
              <w:left w:type="dxa" w:w="100"/>
              <w:bottom w:type="dxa" w:w="60"/>
              <w:right w:type="dxa" w:w="100"/>
            </w:tcMar>
          </w:tcPr>
          <w:p>
            <w:r>
              <w:rPr>
                <w:rFonts w:ascii="Arial" w:cs="Arial" w:eastAsia="Arial" w:hAnsi="Arial"/>
                <w:b/>
                <w:bCs/>
                <w:color w:val="FFFFFF"/>
                <w:sz w:val="18"/>
                <w:szCs w:val="18"/>
              </w:rPr>
              <w:t xml:space="preserve">Status</w:t>
            </w:r>
          </w:p>
        </w:tc>
      </w:tr>
      <w:tr>
        <w:tc>
          <w:tcPr>
            <w:tcW w:type="dxa" w:w="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1</w:t>
            </w:r>
          </w:p>
        </w:tc>
        <w:tc>
          <w:tcPr>
            <w:tcW w:type="dxa" w:w="3726"/>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line="260"/>
            </w:pPr>
            <w:r>
              <w:rPr>
                <w:rFonts w:ascii="Arial" w:cs="Arial" w:eastAsia="Arial" w:hAnsi="Arial"/>
                <w:sz w:val="18"/>
                <w:szCs w:val="18"/>
              </w:rPr>
              <w:t xml:space="preserve">Prepare insurance application for Sarah (Life $500K, TPD $500K, IP 75%/2yr/30day) – to be submitted after school holidays (mid-July 2025)</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Adviser</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18 Jul 2025</w:t>
            </w:r>
          </w:p>
        </w:tc>
        <w:tc>
          <w:tcPr>
            <w:tcW w:type="dxa" w:w="1600"/>
            <w:tcBorders>
              <w:top w:val="single" w:color="CCCCCC" w:sz="1"/>
              <w:left w:val="single" w:color="CCCCCC" w:sz="1"/>
              <w:bottom w:val="single" w:color="CCCCCC" w:sz="1"/>
              <w:right w:val="single" w:color="CCCCCC" w:sz="1"/>
            </w:tcBorders>
            <w:shd w:fill="FDECEA" w:val="clear"/>
            <w:tcMar>
              <w:top w:type="dxa" w:w="60"/>
              <w:left w:type="dxa" w:w="100"/>
              <w:bottom w:type="dxa" w:w="60"/>
              <w:right w:type="dxa" w:w="100"/>
            </w:tcMar>
          </w:tcPr>
          <w:p>
            <w:r>
              <w:rPr>
                <w:rFonts w:ascii="Arial" w:cs="Arial" w:eastAsia="Arial" w:hAnsi="Arial"/>
                <w:b/>
                <w:bCs/>
                <w:color w:val="C0392B"/>
                <w:sz w:val="18"/>
                <w:szCs w:val="18"/>
              </w:rPr>
              <w:t xml:space="preserve">OVERDUE</w:t>
            </w:r>
          </w:p>
        </w:tc>
      </w:tr>
      <w:tr>
        <w:tc>
          <w:tcPr>
            <w:tcW w:type="dxa" w:w="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2</w:t>
            </w:r>
          </w:p>
        </w:tc>
        <w:tc>
          <w:tcPr>
            <w:tcW w:type="dxa" w:w="3726"/>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line="260"/>
            </w:pPr>
            <w:r>
              <w:rPr>
                <w:rFonts w:ascii="Arial" w:cs="Arial" w:eastAsia="Arial" w:hAnsi="Arial"/>
                <w:sz w:val="18"/>
                <w:szCs w:val="18"/>
              </w:rPr>
              <w:t xml:space="preserve">Conduct IP cash-flow analysis (Ballarat unit) including impact of I/O expiry Feb 2026</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Adviser</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31 Aug 2025</w:t>
            </w:r>
          </w:p>
        </w:tc>
        <w:tc>
          <w:tcPr>
            <w:tcW w:type="dxa" w:w="1600"/>
            <w:tcBorders>
              <w:top w:val="single" w:color="CCCCCC" w:sz="1"/>
              <w:left w:val="single" w:color="CCCCCC" w:sz="1"/>
              <w:bottom w:val="single" w:color="CCCCCC" w:sz="1"/>
              <w:right w:val="single" w:color="CCCCCC" w:sz="1"/>
            </w:tcBorders>
            <w:shd w:fill="FDECEA" w:val="clear"/>
            <w:tcMar>
              <w:top w:type="dxa" w:w="60"/>
              <w:left w:type="dxa" w:w="100"/>
              <w:bottom w:type="dxa" w:w="60"/>
              <w:right w:type="dxa" w:w="100"/>
            </w:tcMar>
          </w:tcPr>
          <w:p>
            <w:r>
              <w:rPr>
                <w:rFonts w:ascii="Arial" w:cs="Arial" w:eastAsia="Arial" w:hAnsi="Arial"/>
                <w:b/>
                <w:bCs/>
                <w:color w:val="C0392B"/>
                <w:sz w:val="18"/>
                <w:szCs w:val="18"/>
              </w:rPr>
              <w:t xml:space="preserve">OVERDUE</w:t>
            </w:r>
          </w:p>
        </w:tc>
      </w:tr>
      <w:tr>
        <w:tc>
          <w:tcPr>
            <w:tcW w:type="dxa" w:w="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3</w:t>
            </w:r>
          </w:p>
        </w:tc>
        <w:tc>
          <w:tcPr>
            <w:tcW w:type="dxa" w:w="3726"/>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line="260"/>
            </w:pPr>
            <w:r>
              <w:rPr>
                <w:rFonts w:ascii="Arial" w:cs="Arial" w:eastAsia="Arial" w:hAnsi="Arial"/>
                <w:sz w:val="18"/>
                <w:szCs w:val="18"/>
              </w:rPr>
              <w:t xml:space="preserve">Prepare ROA for super consolidation (Sarah’s Hostplus → AustralianSuper) once Sarah confirms</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Adviser</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Pending client</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val="false"/>
                <w:bCs w:val="false"/>
                <w:color w:val="333333"/>
                <w:sz w:val="18"/>
                <w:szCs w:val="18"/>
              </w:rPr>
              <w:t xml:space="preserve">Waiting on client</w:t>
            </w:r>
          </w:p>
        </w:tc>
      </w:tr>
      <w:tr>
        <w:tc>
          <w:tcPr>
            <w:tcW w:type="dxa" w:w="5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4</w:t>
            </w:r>
          </w:p>
        </w:tc>
        <w:tc>
          <w:tcPr>
            <w:tcW w:type="dxa" w:w="3726"/>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line="260"/>
            </w:pPr>
            <w:r>
              <w:rPr>
                <w:rFonts w:ascii="Arial" w:cs="Arial" w:eastAsia="Arial" w:hAnsi="Arial"/>
                <w:sz w:val="18"/>
                <w:szCs w:val="18"/>
              </w:rPr>
              <w:t xml:space="preserve">Schedule next annual review meeting</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Support staff</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sz w:val="18"/>
                <w:szCs w:val="18"/>
              </w:rPr>
              <w:t xml:space="preserve">May 2026</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Arial" w:cs="Arial" w:eastAsia="Arial" w:hAnsi="Arial"/>
                <w:b w:val="false"/>
                <w:bCs w:val="false"/>
                <w:color w:val="333333"/>
                <w:sz w:val="18"/>
                <w:szCs w:val="18"/>
              </w:rPr>
              <w:t xml:space="preserve">Pending</w:t>
            </w:r>
          </w:p>
        </w:tc>
      </w:tr>
    </w:tbl>
    <w:p>
      <w:pPr>
        <w:spacing w:before="200" w:after="120"/>
      </w:pPr>
      <w:r>
        <w:rPr>
          <w:rFonts w:ascii="Arial" w:cs="Arial" w:eastAsia="Arial" w:hAnsi="Arial"/>
          <w:b/>
          <w:bCs/>
          <w:color w:val="1B3A5C"/>
          <w:sz w:val="20"/>
          <w:szCs w:val="20"/>
        </w:rPr>
        <w:t xml:space="preserve">Next Review:</w:t>
      </w:r>
      <w:r>
        <w:rPr>
          <w:rFonts w:ascii="Arial" w:cs="Arial" w:eastAsia="Arial" w:hAnsi="Arial"/>
          <w:sz w:val="20"/>
          <w:szCs w:val="20"/>
        </w:rPr>
        <w:t xml:space="preserve">  Scheduled for May/June 2026 (to align with DBFO consent renewal)</w:t>
      </w:r>
    </w:p>
    <w:p>
      <w:pPr>
        <w:spacing w:before="30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single" w:color="CCCCCC" w:sz="1"/>
              <w:left w:val="none" w:color="FFFFFF" w:sz="0"/>
              <w:bottom w:val="none" w:color="FFFFFF" w:sz="0"/>
              <w:right w:val="none" w:color="FFFFFF" w:sz="0"/>
            </w:tcBorders>
            <w:tcMar>
              <w:top w:type="dxa" w:w="120"/>
              <w:left w:type="dxa" w:w="0"/>
              <w:bottom w:type="dxa" w:w="0"/>
              <w:right w:type="dxa" w:w="0"/>
            </w:tcMar>
          </w:tcPr>
          <w:p>
            <w:pPr>
              <w:spacing w:after="60"/>
            </w:pPr>
            <w:r>
              <w:rPr>
                <w:rFonts w:ascii="Arial" w:cs="Arial" w:eastAsia="Arial" w:hAnsi="Arial"/>
                <w:color w:val="666666"/>
                <w:sz w:val="18"/>
                <w:szCs w:val="18"/>
              </w:rPr>
              <w:t xml:space="preserve">File note prepared by: </w:t>
            </w:r>
            <w:r>
              <w:rPr>
                <w:rFonts w:ascii="Arial" w:cs="Arial" w:eastAsia="Arial" w:hAnsi="Arial"/>
                <w:sz w:val="18"/>
                <w:szCs w:val="18"/>
              </w:rPr>
              <w:t xml:space="preserve">[Adviser Name]</w:t>
            </w:r>
            <w:r>
              <w:rPr>
                <w:rFonts w:ascii="Arial" w:cs="Arial" w:eastAsia="Arial" w:hAnsi="Arial"/>
                <w:color w:val="666666"/>
                <w:sz w:val="18"/>
                <w:szCs w:val="18"/>
              </w:rPr>
              <w:t xml:space="preserve">    Date: </w:t>
            </w:r>
            <w:r>
              <w:rPr>
                <w:rFonts w:ascii="Arial" w:cs="Arial" w:eastAsia="Arial" w:hAnsi="Arial"/>
                <w:sz w:val="18"/>
                <w:szCs w:val="18"/>
              </w:rPr>
              <w:t xml:space="preserve">22 June 2025</w:t>
            </w:r>
          </w:p>
          <w:p>
            <w:pPr>
              <w:spacing w:after="40"/>
            </w:pPr>
            <w:r>
              <w:rPr>
                <w:rFonts w:ascii="Arial" w:cs="Arial" w:eastAsia="Arial" w:hAnsi="Arial"/>
                <w:i/>
                <w:iCs/>
                <w:color w:val="999999"/>
                <w:sz w:val="14"/>
                <w:szCs w:val="14"/>
              </w:rPr>
              <w:t xml:space="preserve">SAMPLE DATA – FOR WORKSHOP USE ONLY – DOES NOT REPRESENT ANY REAL INDIVIDUAL</w:t>
            </w:r>
          </w:p>
        </w:tc>
      </w:tr>
    </w:tbl>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2026-02-25T23:56:29.538Z</dcterms:created>
  <dcterms:modified xsi:type="dcterms:W3CDTF">2026-02-25T23:56:29.539Z</dcterms:modified>
</cp:coreProperties>
</file>

<file path=docProps/custom.xml><?xml version="1.0" encoding="utf-8"?>
<Properties xmlns="http://schemas.openxmlformats.org/officeDocument/2006/custom-properties" xmlns:vt="http://schemas.openxmlformats.org/officeDocument/2006/docPropsVTypes"/>
</file>