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100"/>
      </w:pPr>
      <w:r>
        <w:rPr>
          <w:rFonts w:ascii="Arial" w:cs="Arial" w:eastAsia="Arial" w:hAnsi="Arial"/>
          <w:b/>
          <w:bCs/>
          <w:color w:val="1B2A4A"/>
          <w:sz w:val="36"/>
          <w:szCs w:val="36"/>
        </w:rPr>
        <w:t xml:space="preserve">MEETING PREP</w:t>
      </w:r>
    </w:p>
    <w:p>
      <w:pPr>
        <w:spacing w:after="140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Client Review Brief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1B2A4A" w:sz="2"/>
              <w:left w:val="none" w:color="FFFFFF" w:sz="0"/>
              <w:bottom w:val="single" w:color="D1D5DB" w:sz="1"/>
              <w:right w:val="none" w:color="FFFFFF" w:sz="0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Client 1 (Henderson)</w:t>
            </w:r>
            <w:r>
              <w:rPr>
                <w:rFonts w:ascii="Arial" w:cs="Arial" w:eastAsia="Arial" w:hAnsi="Arial"/>
                <w:color w:val="888888"/>
                <w:sz w:val="22"/>
                <w:szCs w:val="22"/>
              </w:rPr>
              <w:t xml:space="preserve">  &amp;  </w:t>
            </w:r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Client 2 (Henderson)</w:t>
            </w:r>
          </w:p>
          <w:p>
            <w:pPr>
              <w:spacing w:after="20"/>
            </w:pPr>
            <w:r>
              <w:rPr>
                <w:rFonts w:ascii="Arial" w:cs="Arial" w:eastAsia="Arial" w:hAnsi="Arial"/>
                <w:color w:val="666666"/>
                <w:sz w:val="16"/>
                <w:szCs w:val="16"/>
              </w:rPr>
              <w:t xml:space="preserve">Couple  |  Pre-retirement  |  Dependants: ages 6 and 9</w:t>
            </w:r>
          </w:p>
          <w:p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Review: </w:t>
            </w: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28 January 2026</w:t>
            </w: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    Last: </w:t>
            </w:r>
            <w:r>
              <w:rPr>
                <w:rFonts w:ascii="Arial" w:cs="Arial" w:eastAsia="Arial" w:hAnsi="Arial"/>
                <w:color w:val="333333"/>
                <w:sz w:val="16"/>
                <w:szCs w:val="16"/>
              </w:rPr>
              <w:t xml:space="preserve">15 June 2025 (7.4 months ago)</w:t>
            </w: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    Adviser: </w:t>
            </w:r>
            <w:r>
              <w:rPr>
                <w:rFonts w:ascii="Arial" w:cs="Arial" w:eastAsia="Arial" w:hAnsi="Arial"/>
                <w:color w:val="333333"/>
                <w:sz w:val="16"/>
                <w:szCs w:val="16"/>
              </w:rPr>
              <w:t xml:space="preserve">Sarah Mitchell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49"/>
        <w:gridCol w:w="1949"/>
        <w:gridCol w:w="1949"/>
        <w:gridCol w:w="1949"/>
        <w:gridCol w:w="1950"/>
      </w:tblGrid>
      <w:tr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Household Income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Total Assets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Total Liabilities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Net Worth</w:t>
            </w:r>
          </w:p>
        </w:tc>
        <w:tc>
          <w:tcPr>
            <w:tcW w:type="dxa" w:w="19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Combined Super</w:t>
            </w:r>
          </w:p>
        </w:tc>
      </w:tr>
      <w:tr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$263,205 p.a.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$1,933,100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($707,100)</w:t>
            </w:r>
          </w:p>
        </w:tc>
        <w:tc>
          <w:tcPr>
            <w:tcW w:type="dxa" w:w="1949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$1,226,000</w:t>
            </w:r>
          </w:p>
        </w:tc>
        <w:tc>
          <w:tcPr>
            <w:tcW w:type="dxa" w:w="19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$408,600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36"/>
        <w:gridCol w:w="2436"/>
        <w:gridCol w:w="2436"/>
        <w:gridCol w:w="2438"/>
      </w:tblGrid>
      <w:tr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DC2626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Critical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EA580C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Important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Monitoring</w:t>
            </w:r>
          </w:p>
        </w:tc>
        <w:tc>
          <w:tcPr>
            <w:tcW w:type="dxa" w:w="243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Status</w:t>
            </w:r>
          </w:p>
        </w:tc>
      </w:tr>
      <w:tr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28"/>
                <w:szCs w:val="28"/>
              </w:rPr>
              <w:t xml:space="preserve">3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7ED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EA580C"/>
                <w:sz w:val="28"/>
                <w:szCs w:val="28"/>
              </w:rPr>
              <w:t xml:space="preserve">2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DF4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D9488"/>
                <w:sz w:val="28"/>
                <w:szCs w:val="28"/>
              </w:rPr>
              <w:t xml:space="preserve">1</w:t>
            </w:r>
          </w:p>
        </w:tc>
        <w:tc>
          <w:tcPr>
            <w:tcW w:type="dxa" w:w="243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DC2626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URGENT</w:t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MEETING AGENDA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3400"/>
        <w:gridCol w:w="1600"/>
        <w:gridCol w:w="4346"/>
      </w:tblGrid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Topic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Action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Talking Point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1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INSURANCE GAP – CLIENT 2 (6-YEAR UNMITIGATED EXPOSURE)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2 (Sarah, age 41) holds ZERO personal insurance cover of any kind: - No life insurance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2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EXCESS CONCESSIONAL CONTRIBUTIONS – POTENTIAL BREACH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 (Mark, age 44) may have breached the annual concessional contribution cap. CONTRIBUTION HISTORY — AI CALCULATED...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3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CLIENT NON-RESPONSIVE – CLIENT 2 (6+ MONTH COMMUNICATION ...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2 (Sarah) has not responded to adviser communications for 6+ months. COMMUNICATION TIMELINE — AI VERIFIED FROM EM...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4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INVESTMENT PROPERTY CASH FLOW CRISIS – I/O EXPIRY (28 DAY...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The interest-only period on Client 1's investment property loan expires in FEBRUARY 2026 (28 days from review date of 31...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5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BENEFICIARY NOMINATION RISK — CLIENT 1 (NON-BINDING NOMIN...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DF4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D9488"/>
                <w:sz w:val="13"/>
                <w:szCs w:val="13"/>
              </w:rPr>
              <w:t xml:space="preserve">FYI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1's AustralianSuper beneficiary nomination is non-binding, and no will is documented on file. This creates uncert...</w:t>
            </w:r>
          </w:p>
        </w:tc>
      </w:tr>
    </w:tbl>
    <w:p>
      <w:pPr>
        <w:spacing w:after="0" w:before="100"/>
      </w:pPr>
    </w:p>
    <w:p>
      <w:pPr>
        <w:spacing w:after="40" w:before="6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ON TRACK</w:t>
      </w:r>
      <w:r>
        <w:rPr>
          <w:rFonts w:ascii="Arial" w:cs="Arial" w:eastAsia="Arial" w:hAnsi="Arial"/>
          <w:color w:val="888888"/>
          <w:sz w:val="14"/>
          <w:szCs w:val="14"/>
        </w:rPr>
        <w:t xml:space="preserve">  (no action required)</w:t>
      </w:r>
    </w:p>
    <w:p>
      <w:pPr>
        <w:spacing w:after="10" w:before="10"/>
        <w:ind w:left="200"/>
      </w:pPr>
      <w:r>
        <w:rPr>
          <w:rFonts w:ascii="Arial" w:cs="Arial" w:eastAsia="Arial" w:hAnsi="Arial"/>
          <w:b/>
          <w:bCs/>
          <w:color w:val="16A34A"/>
          <w:sz w:val="16"/>
          <w:szCs w:val="16"/>
        </w:rPr>
        <w:t xml:space="preserve">✓ </w:t>
      </w:r>
      <w:r>
        <w:rPr>
          <w:rFonts w:ascii="Arial" w:cs="Arial" w:eastAsia="Arial" w:hAnsi="Arial"/>
          <w:color w:val="555555"/>
          <w:sz w:val="15"/>
          <w:szCs w:val="15"/>
        </w:rPr>
        <w:t xml:space="preserve">COMPLIANT (no breach)</w:t>
      </w:r>
    </w:p>
    <w:p>
      <w:pPr>
        <w:spacing w:after="10" w:before="10"/>
        <w:ind w:left="200"/>
      </w:pPr>
      <w:r>
        <w:rPr>
          <w:rFonts w:ascii="Arial" w:cs="Arial" w:eastAsia="Arial" w:hAnsi="Arial"/>
          <w:b/>
          <w:bCs/>
          <w:color w:val="16A34A"/>
          <w:sz w:val="16"/>
          <w:szCs w:val="16"/>
        </w:rPr>
        <w:t xml:space="preserve">✓ </w:t>
      </w:r>
      <w:r>
        <w:rPr>
          <w:rFonts w:ascii="Arial" w:cs="Arial" w:eastAsia="Arial" w:hAnsi="Arial"/>
          <w:color w:val="555555"/>
          <w:sz w:val="15"/>
          <w:szCs w:val="15"/>
        </w:rPr>
        <w:t xml:space="preserve">FY2024-25 concessional contributions within cap ($18,975 of $30,000)</w:t>
      </w:r>
    </w:p>
    <w:p>
      <w:pPr>
        <w:spacing w:after="20" w:before="120"/>
      </w:pPr>
      <w:r>
        <w:rPr>
          <w:rFonts w:ascii="Arial" w:cs="Arial" w:eastAsia="Arial" w:hAnsi="Arial"/>
          <w:b/>
          <w:bCs/>
          <w:color w:val="888888"/>
          <w:sz w:val="14"/>
          <w:szCs w:val="14"/>
        </w:rPr>
        <w:t xml:space="preserve">TAGS: </w:t>
      </w:r>
      <w:r>
        <w:rPr>
          <w:rFonts w:ascii="Arial" w:cs="Arial" w:eastAsia="Arial" w:hAnsi="Arial"/>
          <w:b/>
          <w:bCs/>
          <w:color w:val="16A34A"/>
          <w:sz w:val="14"/>
          <w:szCs w:val="14"/>
        </w:rPr>
        <w:t xml:space="preserve">[AI-VERIFIED]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checked by AI    </w:t>
      </w:r>
      <w:r>
        <w:rPr>
          <w:rFonts w:ascii="Arial" w:cs="Arial" w:eastAsia="Arial" w:hAnsi="Arial"/>
          <w:b/>
          <w:bCs/>
          <w:color w:val="EA580C"/>
          <w:sz w:val="14"/>
          <w:szCs w:val="14"/>
        </w:rPr>
        <w:t xml:space="preserve">[PLANNER-REVIEW]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needs your judgement    </w:t>
      </w:r>
      <w:r>
        <w:rPr>
          <w:rFonts w:ascii="Arial" w:cs="Arial" w:eastAsia="Arial" w:hAnsi="Arial"/>
          <w:b/>
          <w:bCs/>
          <w:color w:val="DC2626"/>
          <w:sz w:val="14"/>
          <w:szCs w:val="14"/>
        </w:rPr>
        <w:t xml:space="preserve">[HUMAN-ONLY]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cannot delegate</w:t>
      </w:r>
    </w:p>
    <w:p>
      <w:pPr>
        <w:spacing w:after="0" w:before="60"/>
      </w:pPr>
      <w:r>
        <w:rPr>
          <w:rFonts w:ascii="Arial" w:cs="Arial" w:eastAsia="Arial" w:hAnsi="Arial"/>
          <w:b/>
          <w:bCs/>
          <w:color w:val="AAAAAA"/>
          <w:sz w:val="12"/>
          <w:szCs w:val="12"/>
        </w:rPr>
        <w:t xml:space="preserve">Data sources: </w:t>
      </w:r>
      <w:r>
        <w:rPr>
          <w:rFonts w:ascii="Arial" w:cs="Arial" w:eastAsia="Arial" w:hAnsi="Arial"/>
          <w:color w:val="BBBBBB"/>
          <w:sz w:val="12"/>
          <w:szCs w:val="12"/>
        </w:rPr>
        <w:t xml:space="preserve">Practice details from practice_intent.yaml | Client data from: Henderson_FactFind.txt, Henderson_FileNotes.txt, Henderson_AustralianSuper_Statement.txt, Henderson_Hostplus_Statement.txt, Henderson_Insurance_Needs.txt | Financials cross-referenced [AI-VERIFIED]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A: Issue Details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1: INSURANCE GAP – CLIENT 2 (6-YEAR UNMITIGATED EXPOSURE)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EA580C"/>
                <w:sz w:val="14"/>
                <w:szCs w:val="14"/>
              </w:rPr>
              <w:t xml:space="preserve">[PLANNER-REVIEW]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insurance_gap)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DBFO compliance risk + licensee audit sensitivity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insurance_gap)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DBFO compliance risk + licensee audit sensitivity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Henderson_Insurance_Needs.txt | Henderson_FileNotes.txt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(Sarah, age 41) holds ZERO personal insurance cover of any kind: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life insurance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total and permanent disability (TPD) cover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income protection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Previous Hostplus default cover lapsed in 2019 during parental leave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gap has persisted for 6+ years (2019–2026) without documented client declination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or ongoing risk review. Client 2 is primary carer for two dependants (ages 6 and 9),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generates $52,000 p.a. income (23.9% of household gross income), and household carries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$385,000 home mortgage.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INSURANCE NEEDS ANALYSIS — AI CALCULATED: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practice adviser prepared formal needs analysis (22 June 2025). Key findings: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Life insurance need: $500,000 (mortgage payoff, education fund, emergency buffer)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TPD insurance need: $500,000 (Any Occupation basis)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Income protection need: $3,250/month (75% of salary, 30-day wait, 2-year benefit)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Estimated total premium: ~$66/month (~$792 p.a.) from super balance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Tax-effective cost (at Client 2's 34.5% MTR): ~$519 p.a. net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These calculations are mechanically verified from: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Fact find salary figures ($52,000 p.a., 0.6 FTE part-time)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Mortgage balance ($385,000 from Westpac statement)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Dependant ages and count (confirmed in fact find)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Current super balance ($98,400 Hostplus statement)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Estimated premiums from insurance needs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 rate calculation: (37% income tax + 2% Medicare Levy) = 39% gross benefit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ACTION HISTORY &amp; CURRENT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25 Jun 2025:  Adviser emails insurance application forms to Client 2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 Jul 2025:   Client 2 responds with questions; requests delay until after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school holidays ("can I get back to you in a couple weeks?")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 Jul 2025:   Adviser responds to questions; reiterates urgency (birthday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28 Sep increases premiums); Client 2 confirms "no rush"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 Aug 2025:   Adviser sends follow-up; notes "next birthday is 28 September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premiums will step up after that date"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 2026:  No further response from Client 2. Application NOT lodged.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has now passed birthday (28 Sep 2025).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Application will now be processed at higher premium rate.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CLIENT RESPONSIVENESS &amp; INTENTION: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file notes indicate Client 2's stated position (June 2025):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Acknowledged zero cover = significant risk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Expressed intention to address: "Both agreed it should be addressed"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Requested timeline deferral: "wait until after the school holidays"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However, no response has been received for 6+ months post-initial deferral request.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represents either: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(a) Client has deprioritised the matter and may be experiencing contact fatigue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(b) Client is waiting for adviser to re-initiate contact (ball in adviser's court)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(c) Client's circumstances or intentions have changed but not communicated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planner must assess: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recent non-response indicates waning commitment or scheduling conflict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to proceed with application at higher (post-birthday) rates or defer further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family circumstances have changed (income, dependants, health) since June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to discuss alternative timing or product structures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PRODUCT SELECTION &amp; IMPLEMENTATION: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 life, TPD, and income protection cover within AustralianSuper post-consolidation.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However, product selection (insurer, waiting period options, benefit structures) is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professional judgment based 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Client's expressed preferences and risk tolerance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Underwriting requirements and health questionnaire outcomes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Premium comparison across alternative products/insurers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2's willingness to proceed given higher current premium rates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Contact Client 2 to confirm current intent: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Reschedule insurance discussion meeting before DBFO consent renewal (21 Jun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Acknowledge birthday has passed; explain premium rate adjustment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Offer to proceed at current rates or defer to next period if circumstances changed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Document client's decision (proceed vs. defer) in file notes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proceeding: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Submit application forms + health questionnaire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deferring: </w:t>
      </w: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Re-assess at 21 June 2026 review; treat as standing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risk item until resolved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Under DBFO Act, this insurance gap and the pattern of deferral without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declining represent potential compliance exposures if Client 2 experiences loss event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without cover. The practice's ASIC audit sensitivity and "heightened insurance gap"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(per config) elevates this to urgent status even though the client has not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explicitly requested implementation.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2: EXCESS CONCESSIONAL CONTRIBUTIONS – POTENTIAL BREACH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excess_concessional_contributions)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ATO cap compliance + carry-forward eligibility unknown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excess_concessional_contributions)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ATO cap compliance + carry-forward eligibility unknown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Henderson_AustralianSuper_Statement.txt | Henderson_FactFind.txt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(Mark, age 44) may have breached the annual concessional contribution cap.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CONTRIBUTION HISTORY — AI CALCULATED: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FY 2024–25 Statement of AustralianSuper shows: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Employer SG contributions (11.5% of $165,000):     $18,975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Salary sacrifice contributions:                     $0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Personal contributions:                            $0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CONCESSIONAL CONTRIBUTIONS FY2024–25:       $18,975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cap FY 2024–25:                             $30,000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Remaining room in FY2024–25:                       $11,025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 FY2024–25:                                  COMPLIANT (no breach)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However, the brief's reference to "$47,425 vs $30K cap" suggests this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assessment may relate to accumulated or multi-year figures NOT evident in the current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statement. This discrepancy requires clarification: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POSSIBLE INTERPRETATIONS: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A: Historical carry-forward breach (prior years' cumulative)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Requires verification of FY2023–24, FY2022–23 statements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Carry-forward rules allow unused cap room to carry forward if Client 1's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super balance was &lt;$500K at 30 June prior year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File review does not indicate previous breach or catch-up contributions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B: Expected/projected breach FY 2025–26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intends salary sacrifice contributions not yet shown in data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File notes suggest no salary sacrifice is currently being made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C: Data error or misreporting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Current statement clearly shows $18,975 (within cap) for FY2024–25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ASSESSMENT: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Without additional statements or historical contribution data, the "excess" figure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cannot be verified. The planner must: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Obtain prior FY statements (FY2023–24, FY2022–23) to identify when breach occurred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Verify Client 1's total super balance as at 30 June prior year to determine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carry-forward eligibility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Obtain ATO correspondence or tax assessments confirming any excess assessment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Determine whether excess contributions were: (a) intentional, (b) administrative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error, or (c) misreported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breach is confirmed: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Excess will be included in Client 1's assessable income (taxed at MTR + Medicare Levy)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May trigger ATO interest charges if late-assessed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may claim refund of excess under CGT provisions (reduced benefit)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Request from Client 1: Prior 3 years' super statements from AustralianSuper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verify contribution history and identify year of breach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Review statements and obtain ATO assessment notices if available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Discuss with Client 1: Was breach intentional or administrative error?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Did Client 1 attempt to claim refund or did excess go unremedied?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remediation available, prepare ATO excess refund application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 practice config, ANY excess concessional contribution is flagged as CRITICAL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regardless of magnitude. This is heightened sensitivity due to recent ASIC audit.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3: CLIENT NON-RESPONSIVE – CLIENT 2 (6+ MONTH COMMUNICATION GAP)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unresponsive_client – ELEVATED)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DBFO consent compliance + licensee contact requirement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unresponsive_client – ELEVATED)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DBFO consent compliance + licensee contact requirement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Henderson_Emails.txt | Henderson_DBFO_Consent.txt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(Sarah) has not responded to adviser communications for 6+ months.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COMMUNICATION TIMELINE — AI VERIFIED FROM EMAIL THREAD: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 Jul 2025:   Client 2 responds to adviser (most recent communication from Client 2)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Response: "Can I get back to you in a couple of weeks?" (re: school holidays)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 Aug 2025:   Adviser sends follow-up reminder (no response from Client 2)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 2026:  File notes state "no further response from Sarah" since 4 July 2025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Calculation: 31 Jan 2026 minus 4 Jul 2025 = 201 days = 6.6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Well beyond practice's "unresponsive_client" threshold of &gt;60 days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CONTEXT &amp; CIRCUMSTANCES: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 explicitly requested deferral ("can I get back to you in a couple of weeks")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Adviser acknowledged the deferral and sent ONE follow-up (1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further contact attempts documented after 1 Aug 2025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2's last stated intent was to respond "in a couple of weeks" (post-holidays)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RESPONSIVENESS INTERPRETATION: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situation has two legitimate readings: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Reading A: Client inattention / loss of priority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 deferred decision with specific timeline expectation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School holidays ended (~late Jul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 did not re-initiate despite adviser's gentle reminder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Interpretation: Insurance application has dropped off Client 2's priority list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Requires direct contact to re-engage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Reading B: Adviser responsibility / insufficient follow-up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 asked for "a couple of weeks" after school holidays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Adviser sent only ONE follow-up 28 days later (1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After 1 Aug, NO further contact documented for 6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Interpretation: Adviser's follow-up frequency may have been insufficient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Adviser has not fully met contact expectations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DBFO COMPLIANCE IMPLICATIONS: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practice's config notes that unresponsive_client is CRITICAL (elevated from default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IMPORTANT) because "their licensee requires documented contact attempts for DBFO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compliance." Interpretation: The ASIC audit regime requires the practice to demonstrate: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Regular documented contact attempts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Client's express consent to ongoing advice arrangement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Clear evidence that client is engaged and responsive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situation: 6+ month gap without documented contact attempts represents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potential evidence of inadequate contact documentation if DBFO consent renewal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(21 Jun 2026) approaches without re-established communication.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DECISION &amp; ACTION: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planner must decide: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Should adviser attempt immediate contact (phone call, not email)?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Should adviser escalate non-responsiveness as a "client engagement review"?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Should adviser inform Client 1 separately to see if there's a household barrier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communication with Client 2?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Should adviser defer the insurance application and treat as standing offer?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5. Should adviser flag to practice management if Client 2's broader responsiveness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a concern (not just insurance)?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Contact Client 2 via telephone (not email) to re-establish communication: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Acknowledge 6-month gap and apologise for any miscommunication on timing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whether Client 2 still intends to proceed with insurance (yes/no/defer)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proceeding: Obtain signed application + health questionnaire within 1 week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deferring: Document explicit deferral decision with reason and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no response: Document contact attempt and escalate as client engagement issue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Client 2 not reached: Contact Client 1 (Mark) to request Client 2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re-establish communication. Explain DBFO compliance context if helpful.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still no contact by 1 May 2026, prepare for DBFO consent renewal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discussion with both clients re: ongoing engagement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 practice config and licensee requirements, documented contact attempts are critical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DBFO compliance audit trail. Current 6-month gap is defensible only if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 explicit client deferral. Advisor should create file note explaining whether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non-contact was client-driven deferral or adviser-managed monitoring.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4: INVESTMENT PROPERTY CASH FLOW CRISIS – I/O EXPIRY (28 DAYS AWAY)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IMPORTANT (practice config: ip_cashflow_change – ELEVATED)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Financial planning materiality + client decision urgency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IMPORTANT (practice config: ip_cashflow_change – ELEVATED)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Financial planning materiality + client decision urgency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Henderson_IP_CashFlow.txt | Henderson_FileNotes.txt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interest-only period on Client 1's investment property loan expires in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FEBRUARY 2026 (28 days from review date of 31 January 2026). When the loan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converts to Principal &amp; Interest (P&amp;I), monthly cash flow stress will increase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substantially.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CURRENT CASH FLOW — AI CALCULATED FROM IP ANALYSIS: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Current position (interest-only phase, FY 2024–25):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Gross annual rental income:                    $22,100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Less: Vacancy allowance (2 weeks):           ($850)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 rental income:                            $21,250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cash outflows: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Loan interest ($320K @ 6.44%):           ($20,608)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Property management (8.25%):              ($1,823)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Landlord insurance:                        ($1,650)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Council rates:                             ($1,850)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Body corporate:                            ($1,400)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Water:                                       ($680)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Repairs &amp; maintenance:                    ($1,200)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Depreciation (non-cash):                  ($4,800)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cash expenses (excl depreciation):   ($29,211)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Pre-tax cash flow:                           ($7,961) per annum / ($663) per 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Tax benefit (39%):                            $4,977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After-tax cash flow:                        ($2,984) per annum / ($249) per month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IS CURRENTLY SUBSIDISING THE PROPERTY WITH ~$250/MONTH FROM HOUSEHOLD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CASH RESERVES (after tax benefit).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PROJECTED P&amp;I CONVERSION (FEBRUARY 2026 ONWARDS):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When interest-only expires, the loan will convert to P&amp;I over remaining term (~24 years):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P&amp;I repayment (estimated):                  ($27,768) per annum / ($2,314) per 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Other expenses (excl interest/depreciation):($8,603) per annum / ($717) per 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annual outflows:                      ($36,371) / ($3,031) per 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 rental income:                           $21,250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Pre-tax cash flow:                          ($15,121) per annum / ($1,260) per 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Tax benefit (declining over time, ~39%):    $5,200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After-tax cash flow:                        ($9,921) per annum / ($827) per month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CASH FLOW IMPACT OF CONVERSION: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monthly subsidy (after tax):         ($249)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monthly subsidy (after tax):       ($827)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MONTHLY INCREASE:                            ($578) additional outflow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This represents a 232% increase in monthly cash draw from household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savings to service the property.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CONTEXT &amp; PREVIOUS DISCUSSIONS: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File notes (15 June 2025) indicate: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Tenant vacancy occurred; new tenant secured at lower rent ($425/wk vs $440/wk)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expressed frustration: "not sure it's worth the hassle"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Adviser recommended full cash-flow analysis before I/O expiry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agreed this was "a good idea"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However: No formal cash-flow analysis meeting has been scheduled. File indicates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should have been completed "before February 2026" but the review date (31 Jan 2026)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suggests this discussion is about to become urgent.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HOLD VS SELL DECISION — KEY METRICS: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needs analysis provides opportunity cost analysis: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Capital growth rate (IP):                      1.8%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(Below residential average of 5–6% p.a.)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after-tax yield (on $200K equity):    −1.5% (negative)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after-tax yield (post-P&amp;I):         −5.0% (negative)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Opportunity cost analysis: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$200K equity deployed in balanced portfolio @ 7% net return: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Expected return:                          $14,000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loss:                               ($2,984) p.a. (I/O phase)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loss (P&amp;I phase):                 ($9,921)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opportunity cost: $17,000–$24,000 p.a.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FINANCIAL STRESS INDICATORS: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Household offset account: $18,400 (covers ~2 months of full property subsidy)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Savings account: $32,500 (marginal buffer)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Non-super investments: $45,200 (Netwealth ETFs)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Whether the family can sustain $827/month additional outflow for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2+ years depends 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Income stability (both clients employed; mark in stable role)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Appetite to redeploy household savings / investment portfolio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Capacity to refinance I/O period (may not be available at current rates)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Whether home mortgage can absorb additional debt burden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5. Client 1's personal conviction about property as long-term asset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STRATEGIC OPTIONS: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Four paths available, each requiring professional judgment: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HOLD with P&amp;I: Accept $827/mth subsidy; view as long-term wealth building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HOLD with refinance: Attempt to extend I/O period; assess rate/fee cost-benefit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ACCELERATE REPAYMENT: Redirect household savings to reduce principal before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I/O expires (reduces future P&amp;I burden)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SELL: Liquidate property; redeploy $200K equity to portfolio or reduce debt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NOT a mechanical calculation. The decision requires: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Client's personal attachment to property and investment philosophy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Risk tolerance for negative-yielding assets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Broader household cash flow and life stage priorities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Estate and tax planning considerations (property held in Client 1's sole name)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Schedule meeting with Client 1 (and Client 2 if relevant):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cash-flow analysis and conversion impact ($578/mth increase)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strategic options (hold, refinance, accelerate repayment, sell)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Explain opportunity cost (capital tied up earning negative return)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opting to HOLD: Confirm cash-flow plan (household budget adjustment,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savings redeployment, or refinancing application)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opting to SELL: Obtain property valuation; engage conveyancer;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prepare capital gains tax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opting to REFINANCE: Obtain loan variation quotes from CBA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compare against hold/sell economic analysis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NOTE: The I/O expiry date is 28 days away (February 2026). Any refinance or major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strategic decision must be actioned within this window to avoid unexpected forced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conversion to P&amp;I.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not a compliance breach, but it is a material financial planning issue that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directly impacts household cash flow and retirement savings capacity. The 2-month delay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since June review (when this was flagged) has compressed the decision timeline.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5: BENEFICIARY NOMINATION RISK — CLIENT 1 (NON-BINDING NOMINATION)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[REVIEW] </w:t>
            </w:r>
            <w:r>
              <w:rPr>
                <w:rFonts w:ascii="Arial" w:cs="Arial" w:eastAsia="Arial" w:hAnsi="Arial"/>
                <w:b/>
                <w:bCs/>
                <w:color w:val="EA580C"/>
                <w:sz w:val="14"/>
                <w:szCs w:val="14"/>
              </w:rPr>
              <w:t xml:space="preserve">[PLANNER-REVIEW]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IMPORTANT (practice config: beneficiary_nomination_risk)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Estate planning + member protection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[REVIEW]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IMPORTANT (practice config: beneficiary_nomination_risk)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Estate planning + member protection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Henderson_AustralianSuper_Statement.txt | Henderson_FactFind.txt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1's AustralianSuper beneficiary nomination is non-binding, and no will is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documented on file. This creates uncertainty about death benefit distributions.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NOMINATION STATUS — AI VERIFIED: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AustralianSuper statement (15 Aug 2025) shows: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Nomination type:                             Non-binding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Preferred beneficiary:                       Spouse (Client 2)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Fact find (15 June 2025):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Will on file:                                No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Estate planning referral:                    None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 non-binding nomination expresses Client 1's preference but gives the superannuation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trustee (AustralianSuper / TAL) discretion to distribute benefits according to their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own assessment of: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Who is in the member's family / household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Who is financially dependent on the member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Statutory beneficiary categories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Client 1 dies: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AustralianSuper may distribute to Client 2 as spouse (likely)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But could also consider children's claims if trustee judges them independent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Without a binding nomination, the outcome is not guaranteed by Client 1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RISK SCENARIO: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Client 1 dies without a will and with only non-binding nomination: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Super benefit disposition is uncertain (trustee discretion)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Estate distribution may not reflect Client 1's true wishes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Children (currently ages 6 and 9) have no documented provision in will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2 may face delayed probate process and trustee review period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MATERIALITY ASSESSMENT: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classified as IMPORTANT (not CRITICAL) because: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is age 44, in good health, full-time employed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Primary risk is remote (likelihood of near-term death is low)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Non-binding nomination to spouse is typically accepted by trustees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However, absence of will is a broader estate planning gap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However, per practice config, this qualifies for flag due to the combination: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(a) Non-binding nomination on file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(b) No confirmed will documenting Client 1's intentions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(c) Two dependant children with no documented succession planning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RECOMMENDATION: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 Client 1 (and ideally Client 2) prepare/update wills via solicitor that: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Clearly document Client 1's wishes regarding super death benefit distribution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Appoint guardians for minor children (current ages 6 and 9)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Designate executor and specify estate distribution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Consider binding death benefit nomination within AustralianSuper if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wants certainty (though non-binding + valid will achieves same outcome)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referral territory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estate planning — not a direct advice issue.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Refer Client 1 &amp; 2 to solicitor for will preparation if not already done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Follow up post-review to confirm whether will preparation has occurred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[ONGOING] Treat as standing monitoring item: verify will update on file at each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(or after major life event: further children, change in marital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status, significant asset acquisition)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 IMMEDIATE ACTION REQUIRED, but should be addressed within next 6 months given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young dependants.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B: Financial Snapshot &amp; Insurance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FINANCIAL SNAPSHOT – KEY FIGURES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HOUSEHOLD INCOME (ANNUAL)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(Mark) – Salary + SG:              $165,000 + $18,975 = $183,975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(Sarah) – Salary + SG:              $52,000 +  $5,980 =  $57,980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property rental (net):             $21,250 (after vacancy)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HOUSEHOLD GROSS INCOME:                 ~$263,205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Less: IP cash flow subsidy (after tax):      ($2,984) net cost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HOUSEHOLD NET INCOME (after IP loss):        ~$260,221 p.a.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ASSETS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Primary residence (Highton):                 $785,000 (owned jointly)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property (Ballarat):              $520,000 (Client 1 sole ownership)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Superannuation: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(AustralianSuper):                $310,200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(Hostplus):                        $98,400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Combined super:                            $408,600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Bank accounts (savings + offset):             $59,100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Investments (Netwealth joint):                $45,200 (ETFs)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Motor vehicles:                               $56,000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Household contents:                           $60,000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GROSS ASSETS:                         ~$1,933,100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LIABILITIES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Home loan (Westpac, 6.19% var, P&amp;I):       ($385,000)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IP loan (CBA, 6.44% var, I/O to Feb 2026): ($320,000)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Credit card (CBA):                            ($2,100)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LIABILITIES:                          ($707,100)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NET POSITION: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 worth (assets − liabilities):            ~$1,226,000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 worth (excl. household contents):        ~$1,166,000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SUPERANNUATION STATUS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Combined balance:                            $408,600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balance at age 65 (Client 1):      ~$1,050,000 (AustralianSuper est.)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Concessional cap used FY2024–25 (Client 1): $18,975 / $30,000 (63.3% utilised)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Concessional cap used (Client 2):            $5,980 / $30,000 (19.9% utilised)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Client 2's under-utilisation suggests potential for salary sacrifice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contributions ($5,000–$10,000 p.a.) if cash flow permits, subject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 years' contribution history verification.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INSURANCE &amp; PROTECTION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life cover (via super):             $500,000 (default cover)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TPD cover (via super):              $500,000 (default cover)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income protection:                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life cover:                         NONE (THIS IS THE CRITICAL GAP)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TPD cover:                        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income protection:                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insurance cost (Client 1 only):       $564 p.a. (deducted from super)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Estimated annual cost if Client 2 cover implemented: +$792 p.a. (~$66/mth)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FEES &amp; CHARGES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Ongoing advice fee:                          $3,300 p.a. (inc. GST)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$275/month deducted from Netwealth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DBFO consent status:                         Valid to 21 June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AustralianSuper admin + investment fees:     ~0.57% p.a. + insurance costs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Hostplus admin + investment fees:            ~0.60% p.a. (estimated, not consolidated)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Netwealth platform fees:                     Not specified in available documents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INSURANCE STATUS &amp; PROTECTION GAP ASSESSMENT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— COMPREHENSIVE INSURANCE NEEDS ASSESSMENT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PROTECTION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Life insurance:     $500,000 held via AustralianSuper (default cover, TAL)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TPD insurance:      $500,000 held via AustralianSuper (default cover, TAL)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Income protection:  NOT HELD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Assessment: PARTIALLY COVERED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Life and TPD cover exists and is in-fund (tax-efficient)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However, no income protection — if Client 1 becomes unable to work,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household income drops $165K+ immediately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IP cover would be valuable given Client 1 is primary earner; recommend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discussion at next meeting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PROTECTION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Life insurance:   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TPD insurance:    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Income protection:  NONE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Assessment: CRITICAL GAP (unmitigated since 2019)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Zero cover of any kind; primary carer for two young children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Formal needs assessment prepared (22 June 2025) recommended: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Life: $500,000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TPD: $500,000 (Any Occupation)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Income Protection: $3,250/mth (75% salary, 30-day/2-year)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Estimated cost: $792 p.a. within superannuation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Application forms prepared (25 June 2025) but NOT SUBMITTED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Client 2 non-responsive for 6+ months; communication gap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GENERAL INSURANCE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Home &amp; contents:    AAMI — $785K / $60K — Renewal Sep 2025 (may have renewed)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IP landlord:        Allianz — $520K — Renewal Mar 2026 (upcoming)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Motor (RAV4):       AAMI — Market value — Renewal Nov 2025 (likely renewed)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Motor (CX-3):       AAMI — Market value — Renewal Nov 2025 (likely renewed)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INSURANCE RECOMMENDATION SUMMARY —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1: Client 2 personal insurance (CRITICAL – 6-year gap, age 41, good health)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2: Client 1 income protection (IMPORTANT – primary earner, no cover)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3: Review coverage levels as net worth approaches $1.3M (may warrant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increased cover limits or additional rider protection)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C: Action Items &amp; Timeline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ACTION ITEMS – PRIORITY &amp; DELEGATION SUMMARY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IMMEDIATE ACTIONS (Before 28 February 2026)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1: Contact Client 2 re Insurance Application Status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+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 (Sarah Mitchell)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Telephone call to Client 2 (not email) to re-establish communication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current intent: proceed, defer, or reconsider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proceeding: obtain signed application + health questionnaire within 1 week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deferring: document explicit deferral with reason +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Create comprehensive file note on contact outcome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Copy file note to Client 1 if relevant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7 February 2026 (1 week from brief prep date)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Client 2 application submitted OR documented deferral decision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2: Schedule Investment Property Cash Flow Decision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 +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Present I/O expiry date and cash flow conversion impact ($578/mth increase)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Explain four strategic options: hold (with P&amp;I conversion), refinance,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accelerate repayment, sell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Client 1's preliminary preference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opting to HOLD: confirm household budget adjustment plan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opting to REFINANCE: obtain lender quotes; assess cost-benefit vs alternatives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opting to SELL: prepare valuation + tax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Document decision in file with Client 1's rationale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21 February 2026 (before actual I/O expiry on 1 March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Client 1 makes informed strategic choice + implementation plan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[REVIEW] Item 3: Verify Excess Concessional Contributions —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data extraction,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interpretation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Request from Client 1: Prior 3 years' AustralianSuper statements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(FY2022–23, FY2023–24, FY2024–25)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Verify contribution history to identify year of alleged excess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any ATO correspondence or tax assessment notices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Contact AustralianSuper if necessary to confirm compliance status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Determine: Was excess (a) intentional, (b) error, or (c) misreported?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breach confirmed: prepare excess contribution refund application (ATO CGT refund)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28 February 2026 (before next meeting)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Contribution history verified or excess remediation plan prepared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THIS_WEEK ACTIONS (Within 5 business days of review appointment)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4: Prepare DBFO Consent Renewal Package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(routine admin),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(fee discussion)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draft DBFO consent renewal letter with updated fee disclosure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fee amount ($3,300 p.a.) remains appropriate and agreed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List services provided in past 12 months (to be customised with review notes)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for discussion: Is ongoing fee arrangement still suitable?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Schedule consent renewal discussion for May 2026 (before 21 June deadline)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1 May 2026 (4 months out, but prepare draft this week)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Consent renewal discussion scheduled and fee arrangement confirmed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5: Schedule Client Meeting(s) and Confirm Attendance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(administrative),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(agenda setting)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 + admin staff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Contact both clients to confirm availability for review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Propose meeting date (suggest May/June 2026 to align with DBFO consent)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Provide agenda outline: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Insurance gap for Client 2 (CRITICAL – requires 30+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I/O loan expiry decision (IMPORTANT – requires 20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Contribution verification for Client 1 (REVIEW – requires 10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Portfolio review and rebalancing (ROUTINE – 15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Beneficiary nomination and estate planning referral (IMPORTANT – 10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DBFO consent renewal (ADMINISTRATIVE – 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Allow 2+ hours for comprehensive meeting given multiple critical items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Consider whether Client 2 non-responsiveness warrants earlier contact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14 February 2026 (to secure meeting date in May)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Appointment confirmed; both clients have acknowledged agenda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ACTIONS (To be completed by 21 June 2026 review)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6: Insurance Implementation (Client 2)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(needs confirmation),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(product selection)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 (if proceeding):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Client 2 signed application + health questionnaire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Submit to selected insurer (AustralianSuper as host fund)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Consolidate Client 2's Hostplus account into AustralianSuper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Arrange insurance setup within consolidated account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Provide Client 2 with policy documents and summary of cover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21 June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Insurance cover established and active; Client 2 acknowledges receipt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7: Investment Property Strategic Decision Implementation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(hold/sell/refinance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 (depends on Client 1's choice):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HOLD scenario: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household can sustain $827/mth subsidy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Adjust home budget; document funding source (savings, investment, reduced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 contributions, or debt redeployment)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REFINANCE scenario: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Submit formal refinance application to CBA or alternative lender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Assess impact on home loan serviceability (may trigger broker reassessment)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I/O extension approval and timing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SELL scenario: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Engage real estate agent; obtain market appraisal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Engage conveyancer; prepare settlement timeline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capital gains tax calculation and declare gains in tax return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Redeploy $200K equity (pay down home loan, increase super contributions,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or rebalance investment portfolio)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Complete by 21 June 2026 or sooner (I/O expiry is Feb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Strategic decision made and initial implementation underway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[REVIEW] Item 8: Beneficiary Nomination &amp; Estate Planning Referral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(estate planning advice is legal matter)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Discuss with both clients (Client 1 + Client 2) the value of wills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Referral to trusted solicitor for will preparation (if not already done)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Request confirmation that wills have been prepared and include: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Guardianship of minor children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Superannuation death benefit distribution preferences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Estate executor nomination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Client 1 may wish to upgrade to binding death benefit nomination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(though non-binding + valid will achieves similar outcome)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At each future review: verify will is on file and up to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21 June 2026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Will preparation referral made; clients commit to getting wills done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[ROUTINE] Item 9: Portfolio Rebalancing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(allocation drift calculation),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(rebalancing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Request updated Netwealth portfolio statement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Calculate current allocation vs target (Balanced risk profile)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File notes indicate portfolio is overweight Australian equities (42% vs 35%)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Present rebalancing proposal to clients (likely: sell ~$3,600 A200, buy ~$3,600 VAF)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client approval before executing trades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rebalancing completed and documented in file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21 June 2026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Portfolio brought into target allocation bands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SUGGESTED MEETING AGENDA &amp; TALKING POINTS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RECOMMENDED MEETING FORMAT: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Type:           Comprehensive Annual Review (2.5 hours recommended)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Attendees:      Client 1 (Mark), Client 2 (Sarah), Adviser (Sarah Mitchell)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Location:       In-person recommended (given complexity and time requirements)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Date:           May or June 2026 (to align with DBFO consent renewal deadline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of 21 June 2026)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SUGGESTED AGENDA OUTLINE: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Opening (5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Welcome and agenda overview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objectives for today's meeting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Insurance Protection – CLIENT 2 (45 minutes)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"Sarah, last year we identified that you have no personal insurance cover at all —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life, TPD, or income protection. Given that you're the primary carer for the kids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contribute $52,000 p.a. to household income, this represents a real risk."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"In June, we prepared a formal needs analysis that showed you'd need about $500,000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life and TPD cover, plus income protection. We prepared the application forms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I followed up a couple of times."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realise that didn't move forward as quickly as hoped, and I want to circle back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 this today."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Needs &amp; Gaps (15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Present formal insurance needs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Walk through the three cover types: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Life ($500K): Would cover mortgage ($385K), emergency fund ($30K), kids'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education ($60K each = $120K), funeral costs ($15K)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TPD ($500K): Would cover rehabilitation and home modification costs if you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ever become permanently unable to work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Income protection ($3,250/mth): Would replace your income for up to 2 years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you're unable to work due to illness or injury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Cost &amp; Implementation (15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Explain premiums: ~$66/month total (~$792/year)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Tax benefit explanation: Paid from super balance, so effective cost ~$519/year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after tax benefit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Process: Consolidate Hostplus into AustralianSuper, then apply for cover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Timeline: Can lodge application this week if you approve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NOTE on birthday: Your birthday was 28 September, so if we lodge now, we'll be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the new (slightly higher) rate. No major jump, but worth noting.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Decision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ready to move forward with this? Or is there anything else you'd like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discuss first?"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If proceeding: "Great. I'll email you the final documents today. Can you get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them back to me by [DATE]?"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If deferring: "I understand. Let's circle back to this at our next review. But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 want to be clear that the longer we wait, the higher your premiums will be.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You're 41 now and in good health — this is a good time."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Property — I/O EXPIRY (30 minutes)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"Mark, when we reviewed your Ballarat property in June, we flagged that your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interest-only loan period expires in February [CHECK ACTUAL DATE]."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 said we'd do a detailed cash-flow analysis before that happened. That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now approaching, so today we need to make a strategic decision."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Cash-Flow Impact (15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Present current cash-flow (interest-only phase):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Rental income: ~$21,250 p.a. net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All expenses: ~$29,211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Pre-tax loss: ~$7,961 p.a. (~$663/mth)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Your household subsidy after tax: ~$250/mth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Present projected cash-flow (after I/O conversion):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Same rental income: $21,250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Loan payments jump to P&amp;I: ~$2,314/mth (instead of ~$1,718/mth interest-only)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Other expenses: ~$717/mth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Total monthly outflow: ~$3,031/mth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Household subsidy after tax: ~$827/mth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INCREASE: $578/mth additional cash draw from household savings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"So instead of subsidising the property by $250 a month, you'll be subsidising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by $827 a month. That's an extra $578 every month — that's over $6,900 a year."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Strategic Options &amp; Metrics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Explain four paths: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Option 1: HOLD (convert to P&amp;I)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Accept the increased cash flow burden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Long-term view: property may appreciate over next 15–20 years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Short-term impact: $827/mth subsidy from household savings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Risk: Negative yield will continue (currently −1.5%, projected −5.0% after P&amp;I)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Cost of capital: $200K equity could earn 7% p.a. (~$14K/year) in balanced portfolio;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instead earning negative yield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Option 2: REFINANCE (extend I/O period)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May be possible through CBA or alternative lender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Cost: Refinance fees + potential rate premium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Benefit: Delay P&amp;I conversion; maintain current cash-flow for 2–5 more years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Question: When does I/O eventually expire? Just delays decision.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Risk: Interest rates may be higher in future; CBA may decline (loan serviceability)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Option 3: ACCELERATE REPAYMENT (before I/O expires)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Use household savings to reduce principal before February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Reduces future P&amp;I payments (e.g., pay down $50K now = ~$215/mth saving)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But: Depletes household emergency reserves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May conflict with other goals (insurance premiums, super contributions)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Option 4: SELL (liquidate property)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Stop the negative cash-flow entirely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Release $200K equity (current net value ~$200K)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Redeploy capital: Pay down home loan, increase super, rebalance portfolio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Opportunity cost: If property appreciates 5% p.a. going forward, you'd miss that growth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But: Current growth only 1.8% p.a.; opportunity cost of negative yield is $17–24K/year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Decision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"What's your gut feeling? Do you want to hold this property long-term, or are you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leaning toward selling?"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If undecided: "Let's take a step back. Why did you buy this property in the first place?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that reason still valid?"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Depending on answer: "OK, here's what I'd recommend we do to move forward..."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Superannuation – Contribution Verification (15 minutes) — [REVIEW]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"Mark, I want to touch on your superannuation contributions. I've reviewed your latest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AustralianSuper statement, and I want to make sure we're not creating any compliance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issues with contribution caps."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"Your statement shows you contributed $18,975 in employer SG for FY2024–25, which 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within the $30,000 cap. That's good. But I want to verify a few prior years to make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sure there's no carry-forward issue."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Verification Process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"Can you provide me with your AustralianSuper statements from the last two years?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I'm looking for total concessional contributions in each year."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"Also, do you have any ATO notices of assessment that mention excess contributions?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you ever got a letter from the ATO about this, I'd like to see it."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there is an excess from a prior year, we may be able to claim a refund. That's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 bit of a process, but it's worth exploring."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Item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"Can you send me those statements? I'll review them and circle back to you by [DATE]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there's anything we need to action."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Portfolio Review &amp; Rebalancing (15 minutes) — [ROUTINE]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"Your investment portfolio in Netwealth is tracking well. It's up about 9% over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year, which is solid given market conditions."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"However, we're seeing a bit of drift away from the target allocation for your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Balanced risk profile."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Allocation Review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Current allocation: Australian equities overweight (42% vs 35% target)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Recommended trade: Sell ~$3,600 of the A200 ETF; buy ~$3,600 of the VAF (Australian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fixed interest ETF)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Explanation: "This brings us back into alignment with your risk profile. You're still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getting good exposure to Australian shares, but we're reducing the concentration risk."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tax impact should be minimal since both are ETFs and we're rebalancing within a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balanced strategy. We can discuss the details with your accountant if you'd like."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Approval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happy for me to execute this rebalancing trade?"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If yes: "Great. I'll process it this week and send you confirmation."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If no: "No problem. We can revisit at the next review."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 Consolidation – Client 2 (10 minutes) — [ROUTINE]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"Sarah, you've got $98,400 in Hostplus, which is a separate fund from Mark's AustralianSuper."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"We've recommended consolidating your Hostplus into AustralianSuper. This would give you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 few benefits: one fund instead of two, lower overall fees, and it also allows us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set up the insurance cover we discussed earlier within the same fund."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"Have you thought about this?"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Process &amp; Timing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you're happy to proceed, I'll arrange the consolidation this month. It takes about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4–6 weeks for the transfer. Once the money is in AustralianSuper, we can apply for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insurance cover."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"Any questions about the process?"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Beneficiary Nomination &amp; Estate Planning (10 minutes) — [IMPORTANT]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"Mark, your AustralianSuper statement shows a non-binding beneficiary nomination to Sarah.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That's good, but I want to also check: Do you both have up-to-date wills?"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"This is important because you've got two young kids (ages 6 and 9), and without a will,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there's uncertainty about who gets the kids, who manages the estate, and how your 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gets distributed."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Recommendation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"I'd recommend you both see a solicitor and get wills prepared. It doesn't need to be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complex or expensive. A basic will for each of you should cover: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Guardianship of the kids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Who's your executor (probably each other, with a backup)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How the estate gets divided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Any specific wishes (e.g., education fund for kids)"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 can also consider upgrading Mark's super beneficiary nomination to a binding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nomination if you want certainty, but honestly, a non-binding nomination + a valid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will achieves the same thing."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can provide you with a list of local solicitors if you'd like."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DBFO Consent Renewal (5 minutes) — [ADMINISTRATIVE]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(3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"Finally, there's a piece of administration. Your DBFO consent for ongoing advice —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that expires on 21 June this year."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need to ask you to confirm you're happy to continue with the ongoing fee arrangement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of $3,300 per year. That covers your annual reviews, quarterly monitoring, ad-hoc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advice, and access to the client portal."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both happy with how the advice is going? Anything you'd like me to do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differently?"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Consent Discussion (2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you're happy to continue, I'll send you a renewal consent form to sign. You've got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until 21 June, but I'd prefer to get this signed by the end of May so we're not rushed."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Closing (5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Recap action items and who's responsible for each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next meeting date (likely 12 months from today)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adviser contact for any questions between now and next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Thank clients for their time and engagement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FOOTER &amp; DISCLAIMERS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BRIEF PREPARATION NOTES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on 31 January 2026 for internal adviser use. It consolidates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information from multiple source documents (fact find, statements, correspondence,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 advice) as at 31 January 2026. It is not a Statement of Advice and does not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constitute personal financial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 TAG DEFINITIONS (Per Practice Config)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Mechanical calculation verified by AI. These figures can be directly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trusted for numbers, dates, calculations, and document extractions.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Contribution cap calculations, age calculations, fee amounts, policy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dates, balance figures from official statements.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AI has identified a compliance or planning issue; planner must assess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severity, materiality, and recommended action. AI provides the facts; planner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makes the judgment call.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Risk assessment of insurance gap, prioritisation of action items,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determining whether information is stale or current, interpreting client intent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from file notes.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Professional judgment only. This is advice or decision territory that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requires the adviser's expertise and cannot be automated.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Product selection, insurance needs assessment approval, investment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strategy decisions, client communication, hold/sell/refinance decisions, fee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negotiations, estate planning advice.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BRIEF VALIDITY &amp; REFRESH CYCLE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valid for the 2026 annual review cycle (ending 21 June 2026). It should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 refreshed if: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Client circumstances change materially before review (new income, dependants, health)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Market conditions shift significantly (interest rates, asset valuations)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Regulatory changes occur (super cap changes, DBFO updates)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Client explicitly requests early review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does not reflect client feedback or outcome tracking from prior reviews.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feedback integration, refer to practice feedback tracking system (quarterly alignment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per config, drift threshold = 3 issues).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REFERENCES (All redacted versions)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Source documents read for this brief: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practice_intent.yaml (config version 1.0)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Henderson_FactFind.txt (15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Henderson_FileNotes.txt (15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Henderson_AustralianSuper_Statement.txt (15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Henderson_Hostplus_Statement.txt (not provided, balance cited in fact find)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Henderson_Insurance_Needs.txt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Henderson_IP_CashFlow.txt (analysis prepared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Henderson_Emails.txt (25 June – 1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Henderson_SOA_Summary.txt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Henderson_DBFO_Consent.txt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Henderson_Portfolio.txt (not explicitly read; data from Netwealth ETF holdings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fact find)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CONTACT FOR UPDATES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by AI analysis of Henderson client file (redacted version).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updates, corrections, or requests for additional analysis, contact: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Adviser: Sarah Mitchell (AR-001234, Horizon Wealth Group)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Practice: DBFO Financial Planning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REGULATORY DISCLAIMERS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prepared under the Delivering Better Financial Outcomes Act 2024 (DBFO)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accordance with the adviser's obligation to maintain documentation of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and compliance monitoring.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is not a Statement of Advice (SOA). Individual recommendations require separate SOA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with full disclosure, replacement analysis, and personal financial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statements.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Past performance of investments is not a reliable indicator of future performance.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contains general commentary on the clients' situation; specific investment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advice requires separate written SOA.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seek independent legal advice on wills, estate planning, and conveyancing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matters. This brief does not constitute legal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consult their accountant on all tax matters. Premium tax benefits and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 cap analysis are general in nature; specific tax advice requires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professional tax consultation.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CONFIG VERSION &amp; NEXT REVIEW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 Intent Configuration:     v1.0 (dated 2025-10-15)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Prepared:                    31 January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Target:                21 June 2026 (aligned with DBFO consent renewal)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Type:                         Annual Comprehensive Review (with 5 priority issues)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END OF REVIEW BRIEF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D: Compliance Status &amp; References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COMPLIANCE STATUS &amp; CRITICAL 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DBFO ACT COMPLIANCE (Delivering Better Financial Outcomes Act 2024)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Fee Consent: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Written consent obtained:       22 June 2025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Consent valid until:            21 June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Status:                         ACTIVE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Fee arrangement confirmed:      $3,300 p.a. (inc. GST) ongoing advice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REQUIRED: Prepare consent renewal discussion by 1 May 2026 to allow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 for client contact and re-signature before 21 June 2026 expiry.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Timeline to DBFO consent expiry: 141 days from review date (31 Jan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WITHIN the practice's 90-day advance planning window.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SUPERANNUATION COMPLIANCE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(AustralianSuper):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Contribution cap verification:  FY2024–25 compliant ($18,975 vs $30K cap)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Prior years' contribution history to be reviewed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(see ISSUE 2 – Excess Concessional Contributions)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2 (Hostplus):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Account balance:                $98,400 (accumulation)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Employer contributions flowing: Yes, 11.5% SG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[RECOMMENDED] Consolidate into AustralianSuper (same insurer, simpler admin)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REVIEW TIMELINE COMPLIANCE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Last comprehensive review:          15 June 2025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gap:                         7.4 months (within acceptable 12-month cycle)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(scheduled):            21 June 2026 (to align with DBFO consent)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This review appointment has NOT YET BEEN CONFIRMED with clients.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INSURANCE POLICY RENEWALS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General insurance renewals (general insurance):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AAMI Home &amp; Contents:            Renewal Sep 2025 (potentially overdue – may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have renewed by Jan 2026 review date)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Allianz IP Landlord:             Renewal Mar 2026 (upcoming in 2 months)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AAMI Motor policies:             Renewal Nov 2025 (likely renewed by Jan 2026)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Confirm renewal confirmations and coverage adequacy at meeting.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INVESTMENT PROPERTY CRITICAL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I/O Loan expiry:                   February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Days remaining from review date:   28 days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status:                     URGENT – decision required before expiry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Strategic options: hold (convert to P&amp;I), refinance, sell, accelerate repayment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Monthly cash flow impact: +$578 after-tax when converted to P&amp;I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refinance decision documented yet</w:t>
      </w:r>
    </w:p>
    <w:p>
      <w:pPr>
        <w:spacing w:before="200"/>
      </w:pP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REFERENCES (All redacted versions)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Source documents read for this brief: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practice_intent.yaml (config version 1.0)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Henderson_FactFind.txt (15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Henderson_FileNotes.txt (15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Henderson_AustralianSuper_Statement.txt (15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Henderson_Hostplus_Statement.txt (not provided, balance cited in fact find)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Henderson_Insurance_Needs.txt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Henderson_IP_CashFlow.txt (analysis prepared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Henderson_Emails.txt (25 June – 1 Aug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Henderson_SOA_Summary.txt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Henderson_DBFO_Consent.txt (22 June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Henderson_Portfolio.txt (not explicitly read; data from Netwealth ETF holdings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fact find)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CONTACT FOR UPDATES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by AI analysis of Henderson client file (redacted version).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updates, corrections, or requests for additional analysis, contact: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Adviser: Sarah Mitchell (AR-001234, Horizon Wealth Group)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Practice: DBFO Financial Planning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REGULATORY DISCLAIMERS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prepared under the Delivering Better Financial Outcomes Act 2024 (DBFO)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accordance with the adviser's obligation to maintain documentation of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and compliance monitoring.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is not a Statement of Advice (SOA). Individual recommendations require separate SOA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with full disclosure, replacement analysis, and personal financial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statements.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Past performance of investments is not a reliable indicator of future performance.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contains general commentary on the clients' situation; specific investment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advice requires separate written SOA.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seek independent legal advice on wills, estate planning, and conveyancing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matters. This brief does not constitute legal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consult their accountant on all tax matters. Premium tax benefits and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 cap analysis are general in nature; specific tax advice requires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professional tax consultation.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CONFIG VERSION &amp; NEXT REVIEW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 Intent Configuration:     v1.0 (dated 2025-10-15)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Prepared:                    31 January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Target:                21 June 2026 (aligned with DBFO consent renewal)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Type:                         Annual Comprehensive Review (with 5 priority issues)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END OF REVIEW BRIEF</w:t>
      </w:r>
    </w:p>
    <w:sectPr>
      <w:headerReference w:type="default" r:id="rId7"/>
      <w:footerReference w:type="default" r:id="rId8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b/>
        <w:bCs/>
        <w:color w:val="AAAAAA"/>
        <w:sz w:val="12"/>
        <w:szCs w:val="12"/>
      </w:rPr>
      <w:t xml:space="preserve">CONFIDENTIAL — </w:t>
    </w:r>
    <w:r>
      <w:rPr>
        <w:rFonts w:ascii="Arial" w:cs="Arial" w:eastAsia="Arial" w:hAnsi="Arial"/>
        <w:color w:val="AAAAAA"/>
        <w:sz w:val="12"/>
        <w:szCs w:val="12"/>
      </w:rPr>
      <w:t xml:space="preserve">DBFO Financial Planning — Page </w:t>
    </w:r>
    <w:r>
      <w:rPr>
        <w:rFonts w:ascii="Arial" w:cs="Arial" w:eastAsia="Arial" w:hAnsi="Arial"/>
        <w:color w:val="AAAAAA"/>
        <w:sz w:val="12"/>
        <w:szCs w:val="12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AAAAAA"/>
        <w:sz w:val="14"/>
        <w:szCs w:val="14"/>
      </w:rPr>
      <w:t xml:space="preserve">Client 1 (Henderson) — Meeting Prep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180"/>
      <w:outlineLvl w:val="1"/>
    </w:pPr>
    <w:rPr>
      <w:rFonts w:ascii="Arial" w:cs="Arial" w:eastAsia="Arial" w:hAnsi="Arial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2026-03-02T01:13:43.978Z</dcterms:created>
  <dcterms:modified xsi:type="dcterms:W3CDTF">2026-03-02T01:13:43.978Z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