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line="360"/>
        <w:jc w:val="left"/>
      </w:pPr>
      <w:r>
        <w:t xml:space="preserve">CLIENT FILE NOTES</w:t>
      </w:r>
    </w:p>
    <w:p>
      <w:pPr>
        <w:spacing w:after="240" w:line="240"/>
      </w:pPr>
      <w:r>
        <w:t xml:space="preserve">Client: Priya Sharma | File Reference: SHM-2025-001</w:t>
      </w:r>
    </w:p>
    <w:p>
      <w:pPr>
        <w:pStyle w:val="Heading2"/>
        <w:spacing w:after="120" w:before="240"/>
      </w:pPr>
      <w:r>
        <w:t xml:space="preserve">MEETING 1: INITIAL REVIEW</w:t>
      </w:r>
    </w:p>
    <w:p>
      <w:pPr>
        <w:spacing w:after="180"/>
      </w:pPr>
      <w:r>
        <w:t xml:space="preserve">Date: 18 March 2025 | Duration: 60 minutes | Location: Client's office</w:t>
      </w:r>
    </w:p>
    <w:p>
      <w:pPr>
        <w:spacing w:after="100"/>
      </w:pPr>
      <w:r>
        <w:t xml:space="preserve">Attendees:</w:t>
      </w:r>
    </w:p>
    <w:p>
      <w:pPr>
        <w:spacing w:after="80"/>
      </w:pPr>
      <w:r>
        <w:t xml:space="preserve">Priya Sharma (Client)</w:t>
      </w:r>
    </w:p>
    <w:p>
      <w:pPr>
        <w:spacing w:after="180"/>
      </w:pPr>
      <w:r>
        <w:t xml:space="preserve">Sarah Mitchell, Senior Financial Adviser (Adviser)</w:t>
      </w:r>
    </w:p>
    <w:p>
      <w:pPr>
        <w:spacing w:after="100"/>
      </w:pPr>
      <w:r>
        <w:t xml:space="preserve">Summary:</w:t>
      </w:r>
    </w:p>
    <w:p>
      <w:pPr>
        <w:spacing w:after="180"/>
      </w:pPr>
      <w:r>
        <w:t xml:space="preserve">Initial fact-find and planning meeting with Priya, who is considering early retirement at age 60. Client is well-organised and came prepared with comprehensive documentation (payslips, super statements, investment reports, insurance policies). Discussed retirement feasibility, superannuation structure, insurance protection, and preliminary income projections.</w:t>
      </w:r>
    </w:p>
    <w:p>
      <w:pPr>
        <w:spacing w:after="100"/>
      </w:pPr>
      <w:r>
        <w:t xml:space="preserve">Key Discussion Points:</w:t>
      </w:r>
    </w:p>
    <w:p>
      <w:pPr>
        <w:spacing w:after="80"/>
      </w:pPr>
      <w:r>
        <w:t xml:space="preserve">• Retirement Goals: Priya expressed desire to retire at age 60 (July 2027) if financially viable. Currently 57 years old with strong salary ($195,000 p.a. + 11.5% SG). No major liabilities; property owned outright ($1.25M estimated value). Primary concern is "running out of money" in retirement.</w:t>
      </w:r>
    </w:p>
    <w:p>
      <w:pPr>
        <w:spacing w:after="80"/>
      </w:pPr>
      <w:r>
        <w:t xml:space="preserve">• Superannuation Structure: Reviewed both accounts. Priya has $680,000 in UniSuper (Growth option) and $120,000 in BT Super (Balanced). Discussed consolidation benefits (single admin fee, simplified management), but Priya expressed loyalty to UniSuper ("they've been good to me") and is reluctant to consolidate. Noted that dual-fund structure results in duplicate admin fees (~$1,500-$2,000 p.a. estimated). Priya acknowledged this inefficiency but prioritised convenience/loyalty.</w:t>
      </w:r>
    </w:p>
    <w:p>
      <w:pPr>
        <w:spacing w:after="80"/>
      </w:pPr>
      <w:r>
        <w:t xml:space="preserve">• Income Protection Insurance: Reviewed MLC policy ($10,000/mth benefit, 90-day wait, to age 65). Flagged critical issue: policy expires 30 April 2026 (in ~6 weeks from this meeting date). Advised Priya that renewal/replacement is important; if allowed to lapse, replacement cover at her age would be significantly more expensive or unavailable. Priya's response: "I'll think about whether I still need it at my age." Clear hesitation on renewal; decision deferred.</w:t>
      </w:r>
    </w:p>
    <w:p>
      <w:pPr>
        <w:spacing w:after="80"/>
      </w:pPr>
      <w:r>
        <w:t xml:space="preserve">• Life &amp; TPD Insurance: Noted $300,000 group life in UniSuper (employer paid). No standalone TPD held outside super. Priya comfortable with current coverage given no dependants.</w:t>
      </w:r>
    </w:p>
    <w:p>
      <w:pPr>
        <w:spacing w:after="80"/>
      </w:pPr>
      <w:r>
        <w:t xml:space="preserve">• Retirement Income Projections: Discussed informal estimates based on current super ($800,000), investments ($280,000), and term deposit ($85,000) = ~$1.165M liquid assets. At 5% drawdown, this suggests ~$58,000 p.a. at age 60 (before Centrelink). Priya seemed reassured by initial numbers but requested formal written projection and modelling.</w:t>
      </w:r>
    </w:p>
    <w:p>
      <w:pPr>
        <w:spacing w:after="180"/>
      </w:pPr>
      <w:r>
        <w:t xml:space="preserve">• Centrelink Eligibility: Mentioned Age Pension and asset testing in passing. Priya acknowledged importance but deferred: "that's ages away, I'll worry about it later." Asset levels are borderline for Age Pension eligibility if age 67.</w:t>
      </w:r>
    </w:p>
    <w:p>
      <w:pPr>
        <w:spacing w:after="100"/>
      </w:pPr>
      <w:r>
        <w:t xml:space="preserve">Action Items:</w:t>
      </w:r>
    </w:p>
    <w:p>
      <w:pPr>
        <w:spacing w:after="80"/>
      </w:pPr>
      <w:r>
        <w:t xml:space="preserve">(1) Prepare formal retirement projection and income modelling [Adviser, due 30 April 2025] → COMPLETED</w:t>
      </w:r>
    </w:p>
    <w:p>
      <w:pPr>
        <w:spacing w:after="80"/>
      </w:pPr>
      <w:r>
        <w:t xml:space="preserve">(2) Investigate Transition to Retirement (TTR) strategy options and benefits [Adviser, due 30 April 2025] → COMPLETED</w:t>
      </w:r>
    </w:p>
    <w:p>
      <w:pPr>
        <w:spacing w:after="80"/>
      </w:pPr>
      <w:r>
        <w:t xml:space="preserve">(3) Client to confirm income protection renewal/replacement decision [Client, due 28 February 2026] → PENDING (no confirmation received)</w:t>
      </w:r>
    </w:p>
    <w:p>
      <w:pPr>
        <w:spacing w:after="240"/>
      </w:pPr>
      <w:r>
        <w:t xml:space="preserve">(4) Review Centrelink eligibility and Age Pension projections at age 67 [Adviser, due 30 June 2025] → OVERDUE (not yet completed)</w:t>
      </w:r>
    </w:p>
    <w:p>
      <w:pPr>
        <w:pStyle w:val="Heading2"/>
        <w:spacing w:after="120" w:before="240"/>
      </w:pPr>
      <w:r>
        <w:t xml:space="preserve">MEETING 2: FOLLOW-UP DISCUSSION</w:t>
      </w:r>
    </w:p>
    <w:p>
      <w:pPr>
        <w:spacing w:after="180"/>
      </w:pPr>
      <w:r>
        <w:t xml:space="preserve">Date: 22 September 2025 | Duration: 25 minutes | Format: Telephone</w:t>
      </w:r>
    </w:p>
    <w:p>
      <w:pPr>
        <w:spacing w:after="100"/>
      </w:pPr>
      <w:r>
        <w:t xml:space="preserve">Attendees:</w:t>
      </w:r>
    </w:p>
    <w:p>
      <w:pPr>
        <w:spacing w:after="80"/>
      </w:pPr>
      <w:r>
        <w:t xml:space="preserve">Priya Sharma (Client)</w:t>
      </w:r>
    </w:p>
    <w:p>
      <w:pPr>
        <w:spacing w:after="180"/>
      </w:pPr>
      <w:r>
        <w:t xml:space="preserve">Sarah Mitchell, Senior Financial Adviser (Adviser)</w:t>
      </w:r>
    </w:p>
    <w:p>
      <w:pPr>
        <w:spacing w:after="100"/>
      </w:pPr>
      <w:r>
        <w:t xml:space="preserve">Summary:</w:t>
      </w:r>
    </w:p>
    <w:p>
      <w:pPr>
        <w:spacing w:after="180"/>
      </w:pPr>
      <w:r>
        <w:t xml:space="preserve">Follow-up phone call to discuss retirement projection report and recommend Transition to Retirement strategy. Call was brief (25 min) and positive. Priya engaged with TTR concept; expressed interest but wanted to delay formal commitment pending workplace developments.</w:t>
      </w:r>
    </w:p>
    <w:p>
      <w:pPr>
        <w:spacing w:after="100"/>
      </w:pPr>
      <w:r>
        <w:t xml:space="preserve">Key Discussion Points:</w:t>
      </w:r>
    </w:p>
    <w:p>
      <w:pPr>
        <w:spacing w:after="80"/>
      </w:pPr>
      <w:r>
        <w:t xml:space="preserve">• Retirement Projection Report: Reviewed the formal modelling prepared in response to Meeting 1. Priya was "pleased with the numbers" and felt reassured about early retirement feasibility at age 60. No concerns raised about projections or assumptions.</w:t>
      </w:r>
    </w:p>
    <w:p>
      <w:pPr>
        <w:spacing w:after="80"/>
      </w:pPr>
      <w:r>
        <w:t xml:space="preserve">• Transition to Retirement Strategy: Explained TTR pension mechanics: at age 60, Priya could commence a TTR pension from UniSuper, drawing minimum pension while continuing part-time work. Key benefits outlined: (a) investment earnings in pension phase are tax-free; (b) income drawn from TTR is concessional (15% tax on earnings vs 49% in accumulation); (c) can continue salary sacrificing to accumulation account while drawing from pension. Estimated tax savings of $3,800-$5,200 p.a. depending on drawdown and salary sacrifice levels. Priya responded positively: "sounds like a good idea."</w:t>
      </w:r>
    </w:p>
    <w:p>
      <w:pPr>
        <w:spacing w:after="80"/>
      </w:pPr>
      <w:r>
        <w:t xml:space="preserve">• Timing &amp; Commitment: However, Priya was cautious about immediate implementation. Said: "I want to wait and see how the next 6 months go at work before committing." Apparent concerns: workplace restructure rumoured, unsure of part-time work flexibility, or simply wanting to defer decision until closer to retirement date. Agreed to formalise recommendation in writing (ROA) and review decision later.</w:t>
      </w:r>
    </w:p>
    <w:p>
      <w:pPr>
        <w:spacing w:after="80"/>
      </w:pPr>
      <w:r>
        <w:t xml:space="preserve">• Superannuation Consolidation: Consolidation briefly re-raised by adviser. Priya reiterated preference to keep both funds (UniSuper + BT Super). No further discussion warranted given her prior position.</w:t>
      </w:r>
    </w:p>
    <w:p>
      <w:pPr>
        <w:spacing w:after="180"/>
      </w:pPr>
      <w:r>
        <w:t xml:space="preserve">• Insurance &amp; IP Renewal: Income protection policy renewal NOT discussed in this call. Policy still expires in ~6 months (30 April 2026) but was not addressed. This is a concerning gap in client support given earlier flagging of expiry in March meeting.</w:t>
      </w:r>
    </w:p>
    <w:p>
      <w:pPr>
        <w:spacing w:after="100"/>
      </w:pPr>
      <w:r>
        <w:t xml:space="preserve">Action Items:</w:t>
      </w:r>
    </w:p>
    <w:p>
      <w:pPr>
        <w:spacing w:after="80"/>
      </w:pPr>
      <w:r>
        <w:t xml:space="preserve">(1) Prepare Record of Advice (ROA) documenting TTR recommendation [Adviser, due when client confirms, by letter/email] → COMPLETED (ROA dated 25 Sep 2025)</w:t>
      </w:r>
    </w:p>
    <w:p>
      <w:pPr>
        <w:spacing w:after="80"/>
      </w:pPr>
      <w:r>
        <w:t xml:space="preserve">(2) Schedule next review meeting for March 2026 [Support/Admin, due Dec 2025] → COMPLETED (email sent)</w:t>
      </w:r>
    </w:p>
    <w:p>
      <w:pPr>
        <w:spacing w:after="240"/>
      </w:pPr>
      <w:r>
        <w:t xml:space="preserve">(3) Client to advise on TTR implementation decision [Client, PENDING – awaiting client instruction]</w:t>
      </w:r>
    </w:p>
    <w:p>
      <w:pPr>
        <w:pStyle w:val="Heading2"/>
        <w:spacing w:after="120" w:before="240"/>
      </w:pPr>
      <w:r>
        <w:t xml:space="preserve">CRITICAL FILE NOTES</w:t>
      </w:r>
    </w:p>
    <w:p>
      <w:pPr>
        <w:spacing w:after="100"/>
      </w:pPr>
      <w:r>
        <w:t xml:space="preserve">⚠ INCOME PROTECTION EXPIRY NOT RAISED IN SEPTEMBER MEETING</w:t>
      </w:r>
    </w:p>
    <w:p>
      <w:pPr>
        <w:spacing w:after="100"/>
      </w:pPr>
      <w:r>
        <w:t xml:space="preserve">The MLC income protection policy (expires 30 April 2026) was flagged as critical in the March 2025 meeting, with a deadline of 28 February 2026 for the client to confirm renewal/replacement decision. However, the September 2025 phone call did not address this issue, despite being the ideal opportunity to revisit. As of the March 2026 review window, the policy will expire in 1-2 months if no action is taken. Recommend urgent outreach to client before April 2026 to confirm status and facilitate replacement if needed.</w:t>
      </w:r>
    </w:p>
    <w:p>
      <w:pPr>
        <w:spacing w:after="100"/>
      </w:pPr>
      <w:r>
        <w:t xml:space="preserve">⚠ CENTRELINK PROJECTION OVERDUE</w:t>
      </w:r>
    </w:p>
    <w:p>
      <w:pPr>
        <w:spacing w:after="100"/>
      </w:pPr>
      <w:r>
        <w:t xml:space="preserve">Centrelink Age Pension and asset testing projection was due by 30 June 2025 and remains overdue (as of March 2026 review). This is important given Priya's asset levels (~$1.1M liquid, $1.25M property) are borderline for Age Pension means testing. Recommend completion before next client review to ensure she understands retirement income from super + investments + Centrelink at age 67.</w:t>
      </w:r>
    </w:p>
    <w:p>
      <w:pPr>
        <w:spacing w:after="100"/>
      </w:pPr>
      <w:r>
        <w:t xml:space="preserve">⚠ TTR STRATEGY NOT YET IMPLEMENTED</w:t>
      </w:r>
    </w:p>
    <w:p>
      <w:pPr>
        <w:spacing w:after="240"/>
      </w:pPr>
      <w:r>
        <w:t xml:space="preserve">TTR strategy was recommended in the September 2025 follow-up call and formalised in ROA dated 25 September 2025. Client expressed interest but deferred formal commitment pending "next 6 months" of workplace developments. As of March 2026, no client instruction to implement has been received. Timeline is now 4-5 months to retirement at age 60 (July 2027). Recommend proactive follow-up to confirm client intention and facilitate timely implementation.</w:t>
      </w:r>
    </w:p>
    <w:p>
      <w:pPr>
        <w:pStyle w:val="Heading2"/>
        <w:spacing w:after="120" w:before="240"/>
      </w:pPr>
      <w:r>
        <w:t xml:space="preserve">FILE SUMMARY</w:t>
      </w:r>
    </w:p>
    <w:p>
      <w:pPr>
        <w:spacing w:after="240"/>
      </w:pPr>
      <w:r>
        <w:t xml:space="preserve">Priya Sharma is a well-organised, engaged client approaching early retirement at age 60. Her financial position is solid: no debt, owned property, $1.1M liquid savings, and moderate investment risk profile. Primary goals are retirement feasibility and income certainty. Formal retirement projection completed and positively received. TTR strategy recommended but awaiting client confirmation. Key risks: (1) income protection expiring 30 April 2026 with no renewal confirmation, (2) Centrelink projection overdue, (3) superannuation consolidation not pursued. Next steps: urgent IP renewal outreach, Centrelink projection completion, and formal TTR implementation confirmation.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2026-02-25T23:59:44.814Z</dcterms:created>
  <dcterms:modified xsi:type="dcterms:W3CDTF">2026-02-25T23:59:44.814Z</dcterms:modified>
</cp:coreProperties>
</file>

<file path=docProps/custom.xml><?xml version="1.0" encoding="utf-8"?>
<Properties xmlns="http://schemas.openxmlformats.org/officeDocument/2006/custom-properties" xmlns:vt="http://schemas.openxmlformats.org/officeDocument/2006/docPropsVTypes"/>
</file>