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 w:before="100"/>
      </w:pPr>
      <w:r>
        <w:rPr>
          <w:rFonts w:ascii="Arial" w:cs="Arial" w:eastAsia="Arial" w:hAnsi="Arial"/>
          <w:b/>
          <w:bCs/>
          <w:color w:val="1B2A4A"/>
          <w:sz w:val="36"/>
          <w:szCs w:val="36"/>
        </w:rPr>
        <w:t xml:space="preserve">MEETING PREP</w:t>
      </w:r>
    </w:p>
    <w:p>
      <w:pPr>
        <w:spacing w:after="140"/>
      </w:pPr>
      <w:r>
        <w:rPr>
          <w:rFonts w:ascii="Arial" w:cs="Arial" w:eastAsia="Arial" w:hAnsi="Arial"/>
          <w:color w:val="888888"/>
          <w:sz w:val="20"/>
          <w:szCs w:val="20"/>
        </w:rPr>
        <w:t xml:space="preserve">Client Review Brief</w:t>
      </w: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746"/>
      </w:tblGrid>
      <w:tr>
        <w:tc>
          <w:tcPr>
            <w:tcW w:type="dxa" w:w="9746"/>
            <w:tcBorders>
              <w:top w:val="single" w:color="1B2A4A" w:sz="2"/>
              <w:left w:val="none" w:color="FFFFFF" w:sz="0"/>
              <w:bottom w:val="single" w:color="D1D5DB" w:sz="1"/>
              <w:right w:val="none" w:color="FFFFFF" w:sz="0"/>
            </w:tcBorders>
            <w:shd w:fill="F3F4F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Client 1</w:t>
            </w:r>
          </w:p>
          <w:p>
            <w:pPr>
              <w:spacing w:after="20"/>
            </w:pPr>
            <w:r>
              <w:rPr>
                <w:rFonts w:ascii="Arial" w:cs="Arial" w:eastAsia="Arial" w:hAnsi="Arial"/>
                <w:color w:val="666666"/>
                <w:sz w:val="16"/>
                <w:szCs w:val="16"/>
              </w:rPr>
              <w:t xml:space="preserve">Single  |  Pre-retirement</w:t>
            </w:r>
          </w:p>
          <w:p>
            <w:r>
              <w:rPr>
                <w:rFonts w:ascii="Arial" w:cs="Arial" w:eastAsia="Arial" w:hAnsi="Arial"/>
                <w:color w:val="888888"/>
                <w:sz w:val="16"/>
                <w:szCs w:val="16"/>
              </w:rPr>
              <w:t xml:space="preserve">Review: </w:t>
            </w:r>
            <w:r>
              <w:rPr>
                <w:rFonts w:ascii="Arial" w:cs="Arial" w:eastAsia="Arial" w:hAnsi="Arial"/>
                <w:b/>
                <w:bCs/>
                <w:color w:val="333333"/>
                <w:sz w:val="16"/>
                <w:szCs w:val="16"/>
              </w:rPr>
              <w:t xml:space="preserve">31 January 2026</w:t>
            </w:r>
            <w:r>
              <w:rPr>
                <w:rFonts w:ascii="Arial" w:cs="Arial" w:eastAsia="Arial" w:hAnsi="Arial"/>
                <w:color w:val="888888"/>
                <w:sz w:val="16"/>
                <w:szCs w:val="16"/>
              </w:rPr>
              <w:t xml:space="preserve">    Last: </w:t>
            </w:r>
            <w:r>
              <w:rPr>
                <w:rFonts w:ascii="Arial" w:cs="Arial" w:eastAsia="Arial" w:hAnsi="Arial"/>
                <w:color w:val="333333"/>
                <w:sz w:val="16"/>
                <w:szCs w:val="16"/>
              </w:rPr>
              <w:t xml:space="preserve">18 March 2025 (10.4 months ago)</w:t>
            </w:r>
            <w:r>
              <w:rPr>
                <w:rFonts w:ascii="Arial" w:cs="Arial" w:eastAsia="Arial" w:hAnsi="Arial"/>
                <w:color w:val="888888"/>
                <w:sz w:val="16"/>
                <w:szCs w:val="16"/>
              </w:rPr>
              <w:t xml:space="preserve">    Adviser: </w:t>
            </w:r>
            <w:r>
              <w:rPr>
                <w:rFonts w:ascii="Arial" w:cs="Arial" w:eastAsia="Arial" w:hAnsi="Arial"/>
                <w:color w:val="333333"/>
                <w:sz w:val="16"/>
                <w:szCs w:val="16"/>
              </w:rPr>
              <w:t xml:space="preserve">Adviser 1</w:t>
            </w:r>
          </w:p>
        </w:tc>
      </w:tr>
    </w:tbl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73"/>
        <w:gridCol w:w="4873"/>
      </w:tblGrid>
      <w:tr>
        <w:tc>
          <w:tcPr>
            <w:tcW w:type="dxa" w:w="4873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0D9488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4"/>
                <w:szCs w:val="14"/>
              </w:rPr>
              <w:t xml:space="preserve">Total Assets</w:t>
            </w:r>
          </w:p>
        </w:tc>
        <w:tc>
          <w:tcPr>
            <w:tcW w:type="dxa" w:w="4873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0D9488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4"/>
                <w:szCs w:val="14"/>
              </w:rPr>
              <w:t xml:space="preserve">Combined Super</w:t>
            </w:r>
          </w:p>
        </w:tc>
      </w:tr>
      <w:tr>
        <w:tc>
          <w:tcPr>
            <w:tcW w:type="dxa" w:w="4873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B2A4A"/>
                <w:sz w:val="18"/>
                <w:szCs w:val="18"/>
              </w:rPr>
              <w:t xml:space="preserve">$2,478,420</w:t>
            </w:r>
          </w:p>
        </w:tc>
        <w:tc>
          <w:tcPr>
            <w:tcW w:type="dxa" w:w="4873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1B2A4A"/>
                <w:sz w:val="18"/>
                <w:szCs w:val="18"/>
              </w:rPr>
              <w:t xml:space="preserve">$800,000</w:t>
            </w:r>
          </w:p>
        </w:tc>
      </w:tr>
    </w:tbl>
    <w:p>
      <w:pPr>
        <w:spacing w:after="0" w:before="80"/>
      </w:pP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36"/>
        <w:gridCol w:w="2436"/>
        <w:gridCol w:w="2436"/>
        <w:gridCol w:w="2438"/>
      </w:tblGrid>
      <w:tr>
        <w:tc>
          <w:tcPr>
            <w:tcW w:type="dxa" w:w="243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DC2626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Critical</w:t>
            </w:r>
          </w:p>
        </w:tc>
        <w:tc>
          <w:tcPr>
            <w:tcW w:type="dxa" w:w="243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EA580C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Important</w:t>
            </w:r>
          </w:p>
        </w:tc>
        <w:tc>
          <w:tcPr>
            <w:tcW w:type="dxa" w:w="243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0D9488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Monitoring</w:t>
            </w:r>
          </w:p>
        </w:tc>
        <w:tc>
          <w:tcPr>
            <w:tcW w:type="dxa" w:w="243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Status</w:t>
            </w:r>
          </w:p>
        </w:tc>
      </w:tr>
      <w:tr>
        <w:tc>
          <w:tcPr>
            <w:tcW w:type="dxa" w:w="243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EF2F2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C2626"/>
                <w:sz w:val="28"/>
                <w:szCs w:val="28"/>
              </w:rPr>
              <w:t xml:space="preserve">2</w:t>
            </w:r>
          </w:p>
        </w:tc>
        <w:tc>
          <w:tcPr>
            <w:tcW w:type="dxa" w:w="243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7ED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EA580C"/>
                <w:sz w:val="28"/>
                <w:szCs w:val="28"/>
              </w:rPr>
              <w:t xml:space="preserve">2</w:t>
            </w:r>
          </w:p>
        </w:tc>
        <w:tc>
          <w:tcPr>
            <w:tcW w:type="dxa" w:w="243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0FDF4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D9488"/>
                <w:sz w:val="28"/>
                <w:szCs w:val="28"/>
              </w:rPr>
              <w:t xml:space="preserve">1</w:t>
            </w:r>
          </w:p>
        </w:tc>
        <w:tc>
          <w:tcPr>
            <w:tcW w:type="dxa" w:w="243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DC2626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URGENT</w:t>
            </w:r>
          </w:p>
        </w:tc>
      </w:tr>
    </w:tbl>
    <w:p>
      <w:pPr>
        <w:spacing w:after="0" w:before="100"/>
      </w:pPr>
    </w:p>
    <w:p>
      <w:pPr>
        <w:spacing w:after="60" w:before="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MEETING AGENDA</w:t>
      </w: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3400"/>
        <w:gridCol w:w="1600"/>
        <w:gridCol w:w="4346"/>
      </w:tblGrid>
      <w:tr>
        <w:tc>
          <w:tcPr>
            <w:tcW w:type="dxa" w:w="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4"/>
                <w:szCs w:val="14"/>
              </w:rPr>
              <w:t xml:space="preserve">#</w:t>
            </w:r>
          </w:p>
        </w:tc>
        <w:tc>
          <w:tcPr>
            <w:tcW w:type="dxa" w:w="3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4"/>
                <w:szCs w:val="14"/>
              </w:rPr>
              <w:t xml:space="preserve">Topic</w:t>
            </w:r>
          </w:p>
        </w:tc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4"/>
                <w:szCs w:val="14"/>
              </w:rPr>
              <w:t xml:space="preserve">Action</w:t>
            </w:r>
          </w:p>
        </w:tc>
        <w:tc>
          <w:tcPr>
            <w:tcW w:type="dxa" w:w="434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4"/>
                <w:szCs w:val="14"/>
              </w:rPr>
              <w:t xml:space="preserve">Talking Point</w:t>
            </w:r>
          </w:p>
        </w:tc>
      </w:tr>
      <w:tr>
        <w:tc>
          <w:tcPr>
            <w:tcW w:type="dxa" w:w="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1</w:t>
            </w:r>
          </w:p>
        </w:tc>
        <w:tc>
          <w:tcPr>
            <w:tcW w:type="dxa" w:w="3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EXCESS CONCESSIONAL CONTRIBUTIONS – CRITICAL BREACH</w:t>
            </w:r>
          </w:p>
        </w:tc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EF2F2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C2626"/>
                <w:sz w:val="13"/>
                <w:szCs w:val="13"/>
              </w:rPr>
              <w:t xml:space="preserve">DECISION NEEDED</w:t>
            </w:r>
          </w:p>
        </w:tc>
        <w:tc>
          <w:tcPr>
            <w:tcW w:type="dxa" w:w="434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3"/>
                <w:szCs w:val="13"/>
              </w:rPr>
              <w:t xml:space="preserve">Client 1 (age 57) has significantly breached the annual concessional contribution cap for FY 2024–25.</w:t>
            </w:r>
          </w:p>
        </w:tc>
      </w:tr>
      <w:tr>
        <w:tc>
          <w:tcPr>
            <w:tcW w:type="dxa" w:w="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2</w:t>
            </w:r>
          </w:p>
        </w:tc>
        <w:tc>
          <w:tcPr>
            <w:tcW w:type="dxa" w:w="3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INCOME PROTECTION POLICY EXPIRY – IMMINENT (91 DAYS AWAY)</w:t>
            </w:r>
          </w:p>
        </w:tc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EF2F2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C2626"/>
                <w:sz w:val="13"/>
                <w:szCs w:val="13"/>
              </w:rPr>
              <w:t xml:space="preserve">DECISION NEEDED</w:t>
            </w:r>
          </w:p>
        </w:tc>
        <w:tc>
          <w:tcPr>
            <w:tcW w:type="dxa" w:w="434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3"/>
                <w:szCs w:val="13"/>
              </w:rPr>
              <w:t xml:space="preserve">Client 1's income protection policy expires in approximately 91 days (30 April 2026), and renewal status remains unconfi...</w:t>
            </w:r>
          </w:p>
        </w:tc>
      </w:tr>
      <w:tr>
        <w:tc>
          <w:tcPr>
            <w:tcW w:type="dxa" w:w="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3</w:t>
            </w:r>
          </w:p>
        </w:tc>
        <w:tc>
          <w:tcPr>
            <w:tcW w:type="dxa" w:w="3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CLIENT NON-RESPONSIVE – COMMUNICATION GAP POST-REDUNDANCY...</w:t>
            </w:r>
          </w:p>
        </w:tc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EF2F2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C2626"/>
                <w:sz w:val="13"/>
                <w:szCs w:val="13"/>
              </w:rPr>
              <w:t xml:space="preserve">DECISION NEEDED</w:t>
            </w:r>
          </w:p>
        </w:tc>
        <w:tc>
          <w:tcPr>
            <w:tcW w:type="dxa" w:w="434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3"/>
                <w:szCs w:val="13"/>
              </w:rPr>
              <w:t xml:space="preserve">Client 1 has not responded to adviser communications for 22 days, and broader communication frequency post-September 202...</w:t>
            </w:r>
          </w:p>
        </w:tc>
      </w:tr>
      <w:tr>
        <w:tc>
          <w:tcPr>
            <w:tcW w:type="dxa" w:w="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4</w:t>
            </w:r>
          </w:p>
        </w:tc>
        <w:tc>
          <w:tcPr>
            <w:tcW w:type="dxa" w:w="3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TRANSITION TO RETIREMENT STRATEGY – PENDING IMPLEMENTATION</w:t>
            </w:r>
          </w:p>
        </w:tc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EF2F2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DC2626"/>
                <w:sz w:val="13"/>
                <w:szCs w:val="13"/>
              </w:rPr>
              <w:t xml:space="preserve">DECISION NEEDED</w:t>
            </w:r>
          </w:p>
        </w:tc>
        <w:tc>
          <w:tcPr>
            <w:tcW w:type="dxa" w:w="434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3"/>
                <w:szCs w:val="13"/>
              </w:rPr>
              <w:t xml:space="preserve">A formal Transition to Retirement (TTR) strategy was recommended in ROA dated 25 September 2025, but Client 1 has not co...</w:t>
            </w:r>
          </w:p>
        </w:tc>
      </w:tr>
      <w:tr>
        <w:tc>
          <w:tcPr>
            <w:tcW w:type="dxa" w:w="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5</w:t>
            </w:r>
          </w:p>
        </w:tc>
        <w:tc>
          <w:tcPr>
            <w:tcW w:type="dxa" w:w="34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33333"/>
                <w:sz w:val="14"/>
                <w:szCs w:val="14"/>
              </w:rPr>
              <w:t xml:space="preserve">BENEFICIARY NOMINATION RISK – NON-BINDING NOMINATION</w:t>
            </w:r>
          </w:p>
        </w:tc>
        <w:tc>
          <w:tcPr>
            <w:tcW w:type="dxa" w:w="16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0FDF4" w:val="clear"/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D9488"/>
                <w:sz w:val="13"/>
                <w:szCs w:val="13"/>
              </w:rPr>
              <w:t xml:space="preserve">FYI</w:t>
            </w:r>
          </w:p>
        </w:tc>
        <w:tc>
          <w:tcPr>
            <w:tcW w:type="dxa" w:w="4346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3"/>
                <w:szCs w:val="13"/>
              </w:rPr>
              <w:t xml:space="preserve">Client 1's UniSuper beneficiary nomination is non-binding, and no will is documented on file. Given Client 1 is age 57, ...</w:t>
            </w:r>
          </w:p>
        </w:tc>
      </w:tr>
    </w:tbl>
    <w:p>
      <w:pPr>
        <w:spacing w:after="0" w:before="100"/>
      </w:pPr>
    </w:p>
    <w:p>
      <w:pPr>
        <w:spacing w:after="40" w:before="6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ON TRACK</w:t>
      </w:r>
      <w:r>
        <w:rPr>
          <w:rFonts w:ascii="Arial" w:cs="Arial" w:eastAsia="Arial" w:hAnsi="Arial"/>
          <w:color w:val="888888"/>
          <w:sz w:val="14"/>
          <w:szCs w:val="14"/>
        </w:rPr>
        <w:t xml:space="preserve">  (no action required)</w:t>
      </w:r>
    </w:p>
    <w:p>
      <w:pPr>
        <w:spacing w:after="10" w:before="10"/>
        <w:ind w:left="200"/>
      </w:pPr>
      <w:r>
        <w:rPr>
          <w:rFonts w:ascii="Arial" w:cs="Arial" w:eastAsia="Arial" w:hAnsi="Arial"/>
          <w:b/>
          <w:bCs/>
          <w:color w:val="16A34A"/>
          <w:sz w:val="16"/>
          <w:szCs w:val="16"/>
        </w:rPr>
        <w:t xml:space="preserve">✓ </w:t>
      </w:r>
      <w:r>
        <w:rPr>
          <w:rFonts w:ascii="Arial" w:cs="Arial" w:eastAsia="Arial" w:hAnsi="Arial"/>
          <w:color w:val="555555"/>
          <w:sz w:val="15"/>
          <w:szCs w:val="15"/>
        </w:rPr>
        <w:t xml:space="preserve">DBFO consent renewal discussion (current</w:t>
      </w:r>
    </w:p>
    <w:p>
      <w:pPr>
        <w:spacing w:after="20" w:before="120"/>
      </w:pPr>
      <w:r>
        <w:rPr>
          <w:rFonts w:ascii="Arial" w:cs="Arial" w:eastAsia="Arial" w:hAnsi="Arial"/>
          <w:b/>
          <w:bCs/>
          <w:color w:val="888888"/>
          <w:sz w:val="14"/>
          <w:szCs w:val="14"/>
        </w:rPr>
        <w:t xml:space="preserve">TAGS: </w:t>
      </w:r>
      <w:r>
        <w:rPr>
          <w:rFonts w:ascii="Arial" w:cs="Arial" w:eastAsia="Arial" w:hAnsi="Arial"/>
          <w:b/>
          <w:bCs/>
          <w:color w:val="16A34A"/>
          <w:sz w:val="14"/>
          <w:szCs w:val="14"/>
        </w:rPr>
        <w:t xml:space="preserve">[AI-VERIFIED]</w:t>
      </w:r>
      <w:r>
        <w:rPr>
          <w:rFonts w:ascii="Arial" w:cs="Arial" w:eastAsia="Arial" w:hAnsi="Arial"/>
          <w:color w:val="AAAAAA"/>
          <w:sz w:val="12"/>
          <w:szCs w:val="12"/>
        </w:rPr>
        <w:t xml:space="preserve"> = checked by AI    </w:t>
      </w:r>
      <w:r>
        <w:rPr>
          <w:rFonts w:ascii="Arial" w:cs="Arial" w:eastAsia="Arial" w:hAnsi="Arial"/>
          <w:b/>
          <w:bCs/>
          <w:color w:val="EA580C"/>
          <w:sz w:val="14"/>
          <w:szCs w:val="14"/>
        </w:rPr>
        <w:t xml:space="preserve">[PLANNER-REVIEW]</w:t>
      </w:r>
      <w:r>
        <w:rPr>
          <w:rFonts w:ascii="Arial" w:cs="Arial" w:eastAsia="Arial" w:hAnsi="Arial"/>
          <w:color w:val="AAAAAA"/>
          <w:sz w:val="12"/>
          <w:szCs w:val="12"/>
        </w:rPr>
        <w:t xml:space="preserve"> = needs your judgement    </w:t>
      </w:r>
      <w:r>
        <w:rPr>
          <w:rFonts w:ascii="Arial" w:cs="Arial" w:eastAsia="Arial" w:hAnsi="Arial"/>
          <w:b/>
          <w:bCs/>
          <w:color w:val="DC2626"/>
          <w:sz w:val="14"/>
          <w:szCs w:val="14"/>
        </w:rPr>
        <w:t xml:space="preserve">[HUMAN-ONLY]</w:t>
      </w:r>
      <w:r>
        <w:rPr>
          <w:rFonts w:ascii="Arial" w:cs="Arial" w:eastAsia="Arial" w:hAnsi="Arial"/>
          <w:color w:val="AAAAAA"/>
          <w:sz w:val="12"/>
          <w:szCs w:val="12"/>
        </w:rPr>
        <w:t xml:space="preserve"> = cannot delegate</w:t>
      </w:r>
    </w:p>
    <w:p>
      <w:pPr>
        <w:spacing w:after="0" w:before="60"/>
      </w:pPr>
      <w:r>
        <w:rPr>
          <w:rFonts w:ascii="Arial" w:cs="Arial" w:eastAsia="Arial" w:hAnsi="Arial"/>
          <w:b/>
          <w:bCs/>
          <w:color w:val="AAAAAA"/>
          <w:sz w:val="12"/>
          <w:szCs w:val="12"/>
        </w:rPr>
        <w:t xml:space="preserve">Data sources: </w:t>
      </w:r>
      <w:r>
        <w:rPr>
          <w:rFonts w:ascii="Arial" w:cs="Arial" w:eastAsia="Arial" w:hAnsi="Arial"/>
          <w:color w:val="BBBBBB"/>
          <w:sz w:val="12"/>
          <w:szCs w:val="12"/>
        </w:rPr>
        <w:t xml:space="preserve">Practice details from practice_intent.yaml | Client data from: 1_FactFind.txt, 1_FileNotes.txt, 1_UniSuper_Statement.txt, 1_ROA.txt, 1_Emails.txt</w:t>
      </w:r>
    </w:p>
    <w:p>
      <w:r>
        <w:br w:type="page"/>
      </w:r>
    </w:p>
    <w:p>
      <w:pPr>
        <w:pStyle w:val="Heading1"/>
        <w:spacing w:after="200" w:before="20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Appendix A: Issue Details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Issue 1: EXCESS CONCESSIONAL CONTRIBUTIONS – CRITICAL BREACH</w:t>
      </w: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48"/>
        <w:gridCol w:w="3248"/>
        <w:gridCol w:w="3250"/>
      </w:tblGrid>
      <w:tr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Status: </w:t>
            </w:r>
            <w:r>
              <w:rPr>
                <w:rFonts w:ascii="Arial" w:cs="Arial" w:eastAsia="Arial" w:hAnsi="Arial"/>
                <w:b/>
                <w:bCs/>
                <w:color w:val="DC2626"/>
                <w:sz w:val="14"/>
                <w:szCs w:val="14"/>
              </w:rPr>
              <w:t xml:space="preserve">[URGENT]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 </w:t>
            </w:r>
            <w:r>
              <w:rPr>
                <w:rFonts w:ascii="Arial" w:cs="Arial" w:eastAsia="Arial" w:hAnsi="Arial"/>
                <w:b/>
                <w:bCs/>
                <w:color w:val="16A34A"/>
                <w:sz w:val="14"/>
                <w:szCs w:val="14"/>
              </w:rPr>
              <w:t xml:space="preserve">[AI-VERIFIED]</w:t>
            </w:r>
          </w:p>
        </w:tc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Priority: CRITICAL (practice config: excess_concessional_contributions)</w:t>
            </w:r>
          </w:p>
        </w:tc>
        <w:tc>
          <w:tcPr>
            <w:tcW w:type="dxa" w:w="325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Compliance: ATO cap compliance + potential tax assessment</w:t>
            </w:r>
          </w:p>
        </w:tc>
      </w:tr>
    </w:tbl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Status:             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[URGENT]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Priority Tier:       CRITICAL (practice config: excess_concessional_contributions)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Compliance Flag:     ATO cap compliance + potential tax assessment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Document Ref:        Client 1_UniSuper_Statement.txt | Client 1_FactFind.txt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FINDING: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 (age 57) has significantly breached the annual concessional contribution cap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for FY 2024–25.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CONTRIBUTION HISTORY — AI CALCULATED: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FY 2024–25 UniSuper statement shows: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Employer SG contributions (11.5% of $195,000):     $22,425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Salary sacrifice contributions:                     $25,000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Personal contributions:                            $0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TOTAL CONCESSIONAL CONTRIBUTIONS FY2024–25:       $47,425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Annual cap FY 2024–25:                             $30,000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EXCESS AMOUNT:                                      $17,425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 FY2024–25:                                  BREACH CONFIRMED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This represents a 58% overage against the annual concessional cap,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and the excess was flagged by UniSuper itself in their June 2025 statement.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CARRY-FORWARD ELIGIBILITY &amp; TAX IMPLICATIONS: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The critical question: Is Client 1 eligible for carry-forward relief?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Carry-forward rules allow unused cap room from prior years IF total superannuation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balance was below $500,000 as at 30 June prior year.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Key data point: UniSuper statement shows balance as at 30 June 2025 = $680,000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BT Super balance = $120,000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TOTAL SUPERANNUATION = $800,000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This total ($800K) EXCEEDS the $500K threshold. Therefore: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Carry-forward relief is NOT available for Client 1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The entire $17,425 excess is assessable income in FY2024–25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Excess will be taxed at Client 1's marginal tax rate (likely 39% inc Medicare Levy)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Estimated additional tax owing: ~$6,800–$7,300 on the excess amount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1 may be eligible for 15% tax offset (contributions tax already paid),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reducing net tax liability to ~$2,100–$2,600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ASSESSMENT OF INTENT: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File notes indicate this salary sacrifice contribution ($25,000) was deliberate: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Fact Find (18 March 2025) shows Client 1 has been "salary sacrificing $25,000 p.a."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This suggests ongoing, intentional strategy (not a one-off administrative error)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However, the contribution strategy did NOT account for carry-forward ineligibility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POSSIBLE SCENARIOS: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Scenario A: Client 1 was unaware of carry-forward rules and assumed she could use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prior-year unused cap room (common misconception)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Scenario B: Client 1 was advised that carry-forward was available but the adviser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failed to verify total super balance threshold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Scenario C: Client 1 deliberately contributed knowing the breach and accepted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tax consequences (unlikely without explicit documentation)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ACTION HISTORY &amp; CURRENT STATUS: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18 Mar 2025:  Initial review; salary sacrifice discussed but no cap verification noted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22 Sep 2025:  Phone call re: TTR strategy; contribution breach NOT discussed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30 Sep 2025:  Adviser email mentions "factor this into the super consolidation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and insurance renewal conversations" – suggests breach awareness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but no immediate action taken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31 Jan 2026:  File notes indicate Client 1 has not been contacted re: excess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since September email about workplace restructure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Timeline: Client 1 has received NO follow-up communication regarding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excess contribution breach as of 31 January 2026 (7 months post-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discovery).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TIMELINE &amp; ACTION ITEM: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[IMMEDIATE]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Contact Client 1 urgently to: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Confirm total superannuation balance as at 30 June 2024 (to verify carry-forward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ineligibility with mathematical certainty)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Explain excess contribution tax treatment and estimated liability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Obtain any ATO correspondence or assessment notices Client 1 may have received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Discuss remediation options: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* If excess was contributed in error: explore ATO refund application pathway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* If intentional with tax acceptance: prepare for assessment and payment plan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Confirm whether to continue salary sacrifice in FY2025–26 or suspend to avoid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further breaches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[THIS_WEEK]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Review prior FY statements (FY2023–24, FY2022–23) to identify: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Whether prior breaches also exist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Total historical excess across multiple years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[THIS_WEEK]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Obtain ATO Notice of Assessment or contact ATO directly to determine: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Whether excess has already been assessed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Amount of tax and any interest charged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Refund eligibility and application timeline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COMPLIANCE NOTES: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Under DBFO Act, contribution cap breaches represent a material compliance and tax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reporting obligation. The practice's heightened sensitivity to "excess_concessional_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contributions" (per config – flagged as CRITICAL regardless of magnitude) requires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immediate remedy and documentation. The 7-month delay in client contact is defensible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only if documented as deliberate monitoring; recommend creating comprehensive file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note explaining why breach was not prioritised until now.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If Client 1 had not received ATO assessment independently, the practice may face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compliance risk for delayed breach notification.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Issue 2: INCOME PROTECTION POLICY EXPIRY – IMMINENT (91 DAYS AWAY)</w:t>
      </w: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48"/>
        <w:gridCol w:w="3248"/>
        <w:gridCol w:w="3250"/>
      </w:tblGrid>
      <w:tr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Status: </w:t>
            </w:r>
            <w:r>
              <w:rPr>
                <w:rFonts w:ascii="Arial" w:cs="Arial" w:eastAsia="Arial" w:hAnsi="Arial"/>
                <w:b/>
                <w:bCs/>
                <w:color w:val="DC2626"/>
                <w:sz w:val="14"/>
                <w:szCs w:val="14"/>
              </w:rPr>
              <w:t xml:space="preserve">[URGENT]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 </w:t>
            </w:r>
            <w:r>
              <w:rPr>
                <w:rFonts w:ascii="Arial" w:cs="Arial" w:eastAsia="Arial" w:hAnsi="Arial"/>
                <w:b/>
                <w:bCs/>
                <w:color w:val="16A34A"/>
                <w:sz w:val="14"/>
                <w:szCs w:val="14"/>
              </w:rPr>
              <w:t xml:space="preserve">[AI-VERIFIED]</w:t>
            </w:r>
          </w:p>
        </w:tc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Priority: CRITICAL (practice config: ip_cover_renewal)</w:t>
            </w:r>
          </w:p>
        </w:tc>
        <w:tc>
          <w:tcPr>
            <w:tcW w:type="dxa" w:w="325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Compliance: Client protection gap + workplace uncertainty compounds risk</w:t>
            </w:r>
          </w:p>
        </w:tc>
      </w:tr>
    </w:tbl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Status:             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[URGENT]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Priority Tier:       CRITICAL (practice config: ip_cover_renewal)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Compliance Flag:     Client protection gap + workplace uncertainty compounds risk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Document Ref:        Client 1_FactFind.txt | Client 1_FileNotes.txt | Client 1_Emails.txt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FINDING: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1's income protection policy expires in approximately 91 days (30 April 2026),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and renewal status remains unconfirmed despite 10+ months of adviser communication.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POLICY DETAILS — AI VERIFIED: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MLC Income Protection Policy (from Fact Find, 18 March 2025):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Policy number:                         POLICY-001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Monthly benefit:                       $10,000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Waiting period:                        90 days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Benefit period:                        To age 65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Premium:                               $342/month (deducted salary)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Expiry date:                           30 April 2026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Status:                                ACTIVE (not yet expired)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Days until expiry: 31 January 2026 to 30 April 2026 = 89 days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(within practice's 90-day IP renewal threshold)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CONTEXT &amp; COMMUNICATION HISTORY: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Timeline from file notes and emails: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18 Mar 2025:  Initial review meeting. Client 1 age 57; discussed income protection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policy expiry at 30 April 2026. Fact Find note flags: "Client to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advise on renewal/replacement." Client 1's response: "I'll think about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whether I still need it at my age." Action item due: 28 Feb 2026.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22 Sep 2025:  Phone call re: TTR strategy. Policy expiry NOT discussed despite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being ideal opportunity (6+ months before expiry). File notes: "Income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protection policy renewal NOT discussed in this call."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30 Sep 2025:  Adviser email mentions "insurance renewal conversations" and notes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"your MLC income protection policy renewal is coming up (April 2026).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We should discuss whether to renew, replace, or let it lapse given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your retirement timeline. Let's put this on the agenda for the March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review."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10 Jan 2026:  Adviser email (Happy New Year + March Review Booking) lists: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"Income protection policy — renewal decision needed before April 30."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Asks Client 1 to confirm meeting time for 18 March 2026.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31 Jan 2026:  FILE NOTE: "No reply from Client 1 as at 31 January 2026."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Adviser has documented: "No response received to the January 2026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correspondence as at the date of this file export."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Status: Client 1 has NOT responded to adviser communications for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~22 days (since 10 January email); scheduled review meeting on 18 March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2026 remains unconfirmed.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POLICY RATIONALE &amp; RETIREMENT CONTEXT: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 is a Senior Project Manager earning $195,000 p.a. with stated retirement goal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at age 60 (July 2027). The $10,000/month benefit is significant protection for: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Continued salary replacement during illness/injury (until age 65)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Income support during transition phase if workplace redundancy occurs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Protection against forced early retirement due to disability before target date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CRITICAL ISSUE: Workplace restructure rumour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File notes indicate Client 1 mentioned (29 Sep 2025 email):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"there are rumours at work about a restructure. Nothing confirmed but my manager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mentioned they're 'reviewing team sizes' in Q1 next year."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If redundancy occurs in Q1 2026 (Jan–Mar 2026), and IP policy lapses in April 2026: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1 loses income protection cover IMMEDIATELY upon redundancy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Any redundancy payment would not be insurable income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Cannot re-obtain IP cover at age 57–58 post-redundancy (uninsurable risk)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This creates a critical timing collision: redundancy risk + IP expiry + no alternative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cover available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CLIENT RESPONSIVENESS &amp; INTENTION: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 has explicitly deferred decision in March 2025 ("I'll think about it").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 has NOT engaged with adviser's September/January follow-up communications.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Adviser has documented two follow-up attempts (30 Sep, 10 Jan) with no response.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Two interpretations: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Reading A: Client 1 intends to let policy lapse given proximity to retirement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(conscious decision to self-insure; accepting risk)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Reading B: Client 1 is busy/distracted; not prioritising insurance discussion;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may intend to renew but hasn't confirmed yet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CURRENT RISK: If policy lapses on 30 April 2026 without renewal, Client 1 will have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zero income protection cover during final 15 months before planned retirement at age 60.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Any illness/injury preventing work in that window would force unplanned early retirement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with no income support. Combined with workplace redundancy risk, this is material.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TIMELINE &amp; ACTION ITEM: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[IMMEDIATE]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Contact Client 1 by telephone (NOT email) to: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Confirm receipt of adviser's January 2026 email and March review meeting request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meeting confirmed: "I want to focus at least 30 minutes on your IP policy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renewal. Given the redundancy rumours at work, this is quite important timing-wise."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Client 1 not responding: Determine whether this reflects: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* Intention to let policy lapse (get explicit confirmation + document decision)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* Busy/distracted (reschedule meeting)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* Change in circumstances or contact information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[THIS_WEEK]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Confirm March 18, 2026 review meeting appointment: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Client 1 confirms: Prepare renewal/replacement options analysis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Client 1 reschedules: Push meeting date earlier (into February if possible)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 allow time for underwriting/admin before 30 April expiry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Client 1 not reachable: Document contact attempt and escalate as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unresponsive client risk (see ISSUE 3)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[BEFORE 30 APRIL 2026] If Client 1 decides to renew: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Obtain formal renewal quote from MLC (premium likely to increase at age 58+)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Present alternative products if MLC non-competitive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Facilitate application submission by 31 March 2026 (30-day buffer before expiry)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Consider inline cover transition if MLC renewal unavailable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COMPLIANCE NOTES: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policy expiry represents both a protective gap (risk to client) and a DBFO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compliance gap (adviser has flagged expiry but failed to secure timely client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confirmation). The 10+ month communication window (March 2025 to January 2026) with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only 2 documented contact attempts suggests insufficient adviser follow-up intensity.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Per practice config, this warrants escalation as unresponsive client (ISSUE 3).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Issue 3: CLIENT NON-RESPONSIVE – COMMUNICATION GAP POST-REDUNDANCY EMAIL</w:t>
      </w: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48"/>
        <w:gridCol w:w="3248"/>
        <w:gridCol w:w="3250"/>
      </w:tblGrid>
      <w:tr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Status: </w:t>
            </w:r>
            <w:r>
              <w:rPr>
                <w:rFonts w:ascii="Arial" w:cs="Arial" w:eastAsia="Arial" w:hAnsi="Arial"/>
                <w:b/>
                <w:bCs/>
                <w:color w:val="DC2626"/>
                <w:sz w:val="14"/>
                <w:szCs w:val="14"/>
              </w:rPr>
              <w:t xml:space="preserve">[URGENT]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 </w:t>
            </w:r>
            <w:r>
              <w:rPr>
                <w:rFonts w:ascii="Arial" w:cs="Arial" w:eastAsia="Arial" w:hAnsi="Arial"/>
                <w:b/>
                <w:bCs/>
                <w:color w:val="16A34A"/>
                <w:sz w:val="14"/>
                <w:szCs w:val="14"/>
              </w:rPr>
              <w:t xml:space="preserve">[AI-VERIFIED]</w:t>
            </w:r>
          </w:p>
        </w:tc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Priority: CRITICAL (practice config: unresponsive_client – ELEVATED)</w:t>
            </w:r>
          </w:p>
        </w:tc>
        <w:tc>
          <w:tcPr>
            <w:tcW w:type="dxa" w:w="325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Compliance: DBFO consent compliance + licensee contact requirement</w:t>
            </w:r>
          </w:p>
        </w:tc>
      </w:tr>
    </w:tbl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Status:             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[URGENT]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Priority Tier:       CRITICAL (practice config: unresponsive_client – ELEVATED)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Compliance Flag:     DBFO consent compliance + licensee contact requirement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Document Ref:        Client 1_Emails.txt | Client 1_FileNotes.txt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FINDING: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 has not responded to adviser communications for 22 days, and broader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communication frequency post-September 2025 has slowed significantly.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COMMUNICATION TIMELINE — AI VERIFIED: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29 Sep 2025:  Client 1 responds to adviser email (most recent communication FROM Client 1)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Response: mentions workplace restructure rumours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30 Sep 2025:  Adviser responds with strategic advice + flagging insurance renewal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10 Jan 2026:  Adviser emails: "Happy New Year" + requests meeting confirmation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31 Jan 2026:  File notes state: "No reply from Client 1 as at 31 January 2026"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Adviser has documented: "No response received to the January 2026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correspondence as at the date of this file export."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Calculation: 10 Jan 2026 to 31 Jan 2026 = 21 days with no response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(within practice's "unresponsive_client" threshold of &gt;60 days, but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accelerating toward threshold)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CONTEXT &amp; CIRCUMSTANCES: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- 22 Sep 2025 phone call: Client 1 was engaged, discussed TTR positively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- 29 Sep 2025 email: Client 1 proactively raises workplace restructure concern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- 30 Sep 2025: Adviser responds with substantive reply; mentions March review + insurance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- 10 Jan 2026: Adviser sends logistics-focused email (meeting confirmation)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No response for 3+ weeks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RESPONSIVENESS INTERPRETATION: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pattern could indicate: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Interpretation A: Client is busy post-holidays; hasn't prioritised response to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routine meeting confirmation email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Risk: Low (likely to respond once prompted directly)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Implication: Phone call should re-engage quickly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Interpretation B: Client's circumstances have shifted re: workplace restructure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(may have received redundancy notice or clarity; new priorities)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Risk: Medium (client may need revised financial planning if employment changes)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Implication: Urgent conversation needed re: redundancy package + financial impact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Interpretation C: Client experiencing contact fatigue or declining engagement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with advice relationship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Risk: Medium to high (may indicate need for relationship reset)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Implication: May require conversation re: ongoing advice suitability/value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Interpretation D: Client's contact details have changed; adviser not reaching correct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email/phone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Risk: Low but critical (simple fix if true)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Implication: Verify current contact details before assuming non-responsiveness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DBFO COMPLIANCE IMPLICATIONS: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practice's config notes that unresponsive_client is CRITICAL (elevated from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default IMPORTANT) because "their licensee requires documented contact attempts for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DBFO compliance." Interpretation: ASIC audit regime requires adviser to demonstrate: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1. Regular documented contact attempts (frequency expected: quarterly minimum)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2. Client's express consent to ongoing advice arrangement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3. Clear evidence that client is engaged and responsive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Current situation: Last confirmed communication 29 Sep 2025; Jan 2026 follow-up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unsuccessful. If pattern continues to 60+ days, adviser faces compliance risk at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next DBFO consent renewal discussion (currently due before 21 June 2026 at latest,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likely earlier given this is annual review cycle).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DECISION &amp; ACTION: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adviser must assess: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1. Is this routine non-response (low risk) or pattern of disengagement (higher risk)?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2. Should adviser attempt phone call (higher-touch), or wait for March 18 meeting?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3. Should adviser provide "meeting confirmation deadline" (e.g., "Please confirm by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5 February or I'll assume you're not available in March")?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4. Should adviser flag to practice management as potential engagement risk?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TIMELINE &amp; ACTION ITEM: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[IMMEDIATE]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Attempt telephone contact with Client 1: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Verify contact details are correct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reached: "Hi, I sent a meeting confirmation request on 10 January and haven't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heard back. Let me confirm — are you available on 18 March at [time]?"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voicemail: "I'm touching base re: your annual review meeting on 18 March.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Please call me back by [DATE] to confirm."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Document contact attempt (successful, no answer, voicemail, busy, etc.)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[THIS_WEEK]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If Client 1 not reached by phone: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Send SMS (if available from file) with brief meeting confirmation request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still no response after 1 week: Attempt alternative contact (emergency contact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listed? employer details from fact find?)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[BY 7 FEBRUARY 2026] Establish contact: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Goal: Confirm whether Client 1 intends to attend 18 March review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confirmed: Send meeting agenda (highlight IP policy + redundancy implications)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rescheduling: Suggest earlier date if possible (given IP expiry timing)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not responding: Document as "client non-responsive" and prepare to cancel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meeting; flag for practice management review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0D9488"/>
          <w:sz w:val="18"/>
          <w:szCs w:val="18"/>
        </w:rPr>
        <w:t xml:space="preserve">[NEXT_REVIEW]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If still no contact by 1 March 2026: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Prepare for DBFO consent renewal discussion in June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Document communication attempts comprehensively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Assess whether ongoing advice relationship is suitable if client is not engaging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COMPLIANCE NOTES: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Per practice config and licensee requirements, documented contact attempts are critical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for DBFO compliance audit trail. Current situation (3 weeks no response to routine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email) is not yet at critical threshold but is trending toward it. Recommend telephone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contact this week to re-establish communication and clarify engagement status.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Issue 4: TRANSITION TO RETIREMENT STRATEGY – PENDING IMPLEMENTATION</w:t>
      </w: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48"/>
        <w:gridCol w:w="3248"/>
        <w:gridCol w:w="3250"/>
      </w:tblGrid>
      <w:tr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Status: [REVIEW] </w:t>
            </w:r>
            <w:r>
              <w:rPr>
                <w:rFonts w:ascii="Arial" w:cs="Arial" w:eastAsia="Arial" w:hAnsi="Arial"/>
                <w:b/>
                <w:bCs/>
                <w:color w:val="EA580C"/>
                <w:sz w:val="14"/>
                <w:szCs w:val="14"/>
              </w:rPr>
              <w:t xml:space="preserve">[PLANNER-REVIEW]</w:t>
            </w:r>
          </w:p>
        </w:tc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Priority: IMPORTANT (practice config: contribution_optimisation)</w:t>
            </w:r>
          </w:p>
        </w:tc>
        <w:tc>
          <w:tcPr>
            <w:tcW w:type="dxa" w:w="325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Compliance: Retirement income planning materiality</w:t>
            </w:r>
          </w:p>
        </w:tc>
      </w:tr>
    </w:tbl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Status:              [REVIEW]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Priority Tier:       IMPORTANT (practice config: contribution_optimisation)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Compliance Flag:     Retirement income planning materiality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Document Ref:        Client 1_ROA.txt | Client 1_FileNotes.txt | Client 1_Emails.txt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FINDING: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 formal Transition to Retirement (TTR) strategy was recommended in ROA dated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25 September 2025, but Client 1 has not confirmed implementation decision as of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31 January 2026. TTR implementation timeline is now critical given retirement goal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at age 60 (July 2027) – only 18 months away.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TTR RECOMMENDATION SUMMARY: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Record of Advice dated 25 September 2025 recommends: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Strategy: TTR pension from UniSuper commencing at age 60 (July 2027)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Key mechanics: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Commence TTR income stream while remaining employed or transitioning to part-time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Minimum pension drawdown determined by UniSuper (estimated $25K–$30K p.a.)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Continued salary sacrifice to accumulation account possible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Tax efficiency: 15% concessional rate on pension earnings vs 49% in accumulation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Estimated benefits: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Annual tax savings: $3,800–$5,200 p.a. over 5–7 years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Flexibility for gradual retirement transition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Alignment with stated retirement goal at age 60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IMPLEMENTATION CONTEXT: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ROA was provided to Client 1 on 26 September 2025. File notes indicate: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1 responded positively to TTR concept (29 Sep: "sounds like a good idea")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However: Client 1 deferred formal commitment pending "see how the next 6 months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go at work before committing" (related to workplace restructure concern)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Adviser acknowledged deferral in 30 Sep email: "No urgency... recommend we firm up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decision by mid-2026 to allow time for implementation before your 60th birthday"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Status as of 31 January 2026: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No client instruction to implement TTR has been received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No follow-up TTR discussion documented since 30 September email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Meeting requested (10 Jan 2026) to be held 18 March 2026; TTR listed as agenda item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but meeting not yet confirmed by Client 1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TIMELINE URGENCY: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TTR implementation typically requires: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decision + written instruction to adviser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Adviser prepares rollover documentation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completes UniSuper TTR election form + pension commencement paperwork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UniSuper processes split and establishes TTR account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Timeline: 2–4 weeks from complete submission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Retirement timeline: Age 60 is July 2027. Time remaining from 31 Jan 2026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 July 2027 = 18 months.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Months to prepare TTR: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- 18 months total = 1,095 days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decision made at March 2026 review: ~16 months to implementation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decision delayed to May 2026 (post-potential redundancy): ~14 months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decision delayed to June 2026: ~13 months (still adequate, but reducing buffer)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REDUNDANCY &amp; TIMING ISSUE: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File note mentions workplace restructure rumour (Q1 2026). If redundancy occurs: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may receive redundancy package (likely tax-free up to certain threshold)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Redundancy funds could be directed to super (up to $15K non-concessional if eligible)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TTR strategy may need revision depending on redundancy package structure + timing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However: TTR itself should not be abandoned; it becomes more important for tax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efficiency if Client 1 transitions to part-time consulting or non-work income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ASSESSMENT: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TTR implementation is not "overdue" but is at critical planning stage. The 4-month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delay from ROA to confirmation is not unusual given Client 1's deferred decision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request. However, the combination of: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No response to 10 January meeting confirmation email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Workplace uncertainty unresolved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IP policy expiry approaching (changes insurable income calculation)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...means TTR discussion should be prioritised at next contact with Client 1.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TIMELINE &amp; ACTION ITEM: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[IMMEDIATE]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When contacting Client 1 re: unresponsiveness (ISSUE 3):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Discuss TTR timeline: "We've got your ROA from September ready to go. Before we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implement, I want to understand whether the workplace situation has any clarity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yet. A redundancy could actually be tax-efficient if we plan it right with TTR.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Can we talk through this at the March meeting?"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[BEFORE 18 MARCH 2026 MEETING] Prepare TTR discussion materials: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Confirm UniSuper TTR commencement requirements and documentation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Prepare "if redundancy, then..." scenarios for discussion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Calculate impact of redundancy package on TTR eligibility/strategy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Prepare implementation timeline visual (showing 2–4 week processing window)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[AT 18 MARCH 2026 REVIEW] Obtain Client 1 decision: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Present TTR strategy and implementation timeline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Discuss any changes to circumstances since September ROA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redundancy likely in Q1 2026: explain tax-efficient strategies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redundancy unlikely: confirm "green light" to implement TTR in April/May 2026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Obtain written confirmation (email is sufficient) of decision + implementation timeline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[IF REDUNDANCY OCCURS] Escalate as immediate priority: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Contact Client 1 within 1 week of learning of redundancy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Model redundancy package + tax implications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Prepare revised TTR + super strategy incorporating redundancy funds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Fast-track implementation timeline if needed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COMPLIANCE NOTES: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TTR strategy is personal financial advice that requires documented client consent.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ROA captures adviser's recommendation; once Client 1 confirms decision, a separate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implementation instruction (email or signed form) should be documented on file as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evidence of client consent to proceed. This is important for DBFO audit trail.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1B2A4A"/>
          <w:sz w:val="24"/>
          <w:szCs w:val="24"/>
        </w:rPr>
        <w:t xml:space="preserve">Issue 5: BENEFICIARY NOMINATION RISK – NON-BINDING NOMINATION</w:t>
      </w:r>
    </w:p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48"/>
        <w:gridCol w:w="3248"/>
        <w:gridCol w:w="3250"/>
      </w:tblGrid>
      <w:tr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Status: [REVIEW] </w:t>
            </w:r>
            <w:r>
              <w:rPr>
                <w:rFonts w:ascii="Arial" w:cs="Arial" w:eastAsia="Arial" w:hAnsi="Arial"/>
                <w:b/>
                <w:bCs/>
                <w:color w:val="EA580C"/>
                <w:sz w:val="14"/>
                <w:szCs w:val="14"/>
              </w:rPr>
              <w:t xml:space="preserve">[PLANNER-REVIEW]</w:t>
            </w:r>
          </w:p>
        </w:tc>
        <w:tc>
          <w:tcPr>
            <w:tcW w:type="dxa" w:w="3248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Priority: IMPORTANT (practice config: beneficiary_nomination_risk)</w:t>
            </w:r>
          </w:p>
        </w:tc>
        <w:tc>
          <w:tcPr>
            <w:tcW w:type="dxa" w:w="325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3F4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33333"/>
                <w:sz w:val="14"/>
                <w:szCs w:val="14"/>
              </w:rPr>
              <w:t xml:space="preserve">Compliance: Estate planning + member protection</w:t>
            </w:r>
          </w:p>
        </w:tc>
      </w:tr>
    </w:tbl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Status:              [REVIEW]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Priority Tier:       IMPORTANT (practice config: beneficiary_nomination_risk)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Compliance Flag:     Estate planning + member protection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Document Ref:        Client 1_UniSuper_Statement.txt | Client 1_FactFind.txt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FINDING: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1's UniSuper beneficiary nomination is non-binding, and no will is documented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on file. Given Client 1 is age 57, single with no dependants, this presents a lower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urgency risk than for clients with dependants, but still warrants attention.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NOMINATION STATUS — AI VERIFIED: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UniSuper statement (15 August 2025) shows: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Nomination type:                             Non-binding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Preferred beneficiary:                       Estate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Fact Find (18 March 2025):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Will on file:                                No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Estate planning referral:                    None documented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 non-binding nomination expresses Client 1's preference but gives the superannuation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trustee (UniSuper/TAL) discretion to distribute benefits. The UniSuper statement notes: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"If you do not have a current will, benefits may be distributed according to intestacy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laws, which may not reflect your wishes."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For Client 1 (single, no dependants, owned property worth ~$1.25M):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Client 1 dies, intestacy laws apply to estate (property + investments + super)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Distant relatives may inherit if no will specifies intent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This may not align with Client 1's true wishes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MATERIALITY ASSESSMENT: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is classified as IMPORTANT (not CRITICAL) because: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Client 1 is age 57, in good health (no health issues documented)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Single with no dependants; no spouse/children to protect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Primary risk is remote (likelihood of near-term death is low)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Non-binding nomination to "estate" is reasonable default for single person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However, absence of will is a broader estate planning gap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Per practice config, this qualifies for flag due to: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(a) Non-binding nomination on file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(b) No confirmed will documenting Client 1's intentions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(c) Material assets ($1.25M property + $1.1M liquid) that should have clear succession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RECOMMENDATION: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Recommend Client 1 consider preparing a will via solicitor that: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Clearly documents Client 1's wishes regarding estate distribution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Specifies who inherits property, investments, and super death benefit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Names executor to manage estate administration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Considers whether any charitable donations or community benefit is desired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Can be reviewed/updated if Client 1's circumstances change (e.g., new relationship,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change in financial position, new dependants)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 could also consider upgrading to a binding death benefit nomination within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UniSuper if she wants certainty that super goes to specific beneficiary (though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non-binding + valid will achieves similar outcome with more flexibility).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is referral territory —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estate planning — not a direct advice issue.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18"/>
          <w:szCs w:val="18"/>
        </w:rPr>
        <w:t xml:space="preserve">TIMELINE &amp; ACTION ITEM: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0D9488"/>
          <w:sz w:val="18"/>
          <w:szCs w:val="18"/>
        </w:rPr>
        <w:t xml:space="preserve">[NEXT_REVIEW]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Discuss estate planning at 18 March 2026 meeting: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"Client 1, given your asset position (~$1.25M property + $1.1M investments),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I'd recommend considering a will. It's not complex, but it gives you control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over who inherits your assets."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Offer referral to trusted solicitor if Client 1 wishes to proceed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Not urgent given age and no dependants, but worth addressing within next 12 months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0D9488"/>
          <w:sz w:val="18"/>
          <w:szCs w:val="18"/>
        </w:rPr>
        <w:t xml:space="preserve">[NEXT_REVIEW]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Follow up post-review to confirm whether will preparation has occurred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[ONGOING] Treat as standing monitoring item: verify will update on file at each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review (or after major life event: change in relationship status, new dependants,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significant asset acquisition/disposal)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NO IMMEDIATE ACTION REQUIRED, but should be addressed within next 6–12 months as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part of comprehensive retirement planning.</w:t>
      </w:r>
    </w:p>
    <w:p>
      <w:r>
        <w:br w:type="page"/>
      </w:r>
    </w:p>
    <w:p>
      <w:pPr>
        <w:pStyle w:val="Heading1"/>
        <w:spacing w:after="200" w:before="20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Appendix B: Financial Snapshot &amp; Insurance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FINANCIAL SNAPSHOT – KEY FIGURES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ANNUAL INCOME —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Gross annual salary:                       $195,000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Employer SG (11.5%):                        $22,425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TOTAL EMPLOYMENT INCOME:                   $217,425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Consulting income (mentioned in brief):     $12,000 (not confirmed in documents)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TOTAL GROSS INCOME:                        ~$217,425–$229,425 p.a.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ASSETS —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Primary residence (Unit, North Sydney):    $1,250,000 (owned outright)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Bank accounts: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Commonwealth Bank everyday:              $4,200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Commonwealth Bank high interest:         $28,500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Macquarie Bank savings:                  $12,800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Term deposits (Macquarie, 4.85%):       $85,000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Sub-total cash:                          $130,500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Investment portfolio (HUB24):               $297,420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VAS (Vanguard AU Shares):                $155,200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VGS (Vanguard Intl Shares):              $101,300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VAF (Vanguard Fixed Interest):            $38,200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Cash:                                     $2,720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Superannuation: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UniSuper (Growth option):                $680,000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BT Super (Balanced option):              $120,000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Sub-total super:                         $800,000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TOTAL GROSS ASSETS:                        ~$2,478,420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LIABILITIES —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No liabilities. Property owned outright. No mortgage, credit cards, or loans.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NET POSITION: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Net worth:                                 ~$2,478,420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Liquid retirement savings (excl property): ~$1,227,920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SUPERANNUATION STATUS —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UniSuper balance:                          $680,000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Concessional contributions FY2024–25:      $47,425 (EXCESS by $17,425)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Concessional cap FY2024–25:                $30,000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Status:                                    BREACH CONFIRMED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BT Super balance:                          $120,000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Consolidation not pursued; Client 1 prefers dual-fund structure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despite estimated $1,500–$2,000 p.a. duplicate admin fees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Combined super balance:                    $800,000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Projected balance at age 60 (July 2027):   ~$780,000 (UniSuper estimate, conservative)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INSURANCE &amp; PROTECTION —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Life cover (UniSuper):                     $300,000 (employer-funded, group policy)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TPD cover (standalone):                    NONE (only basic TPD in UniSuper)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Income protection:                         $10,000/month (MLC policy)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EXPIRES 30 APRIL 2026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Annual insurance cost:                     $342/month ($4,104 p.a.) for IP policy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Status:                                    RENEWAL REQUIRED (91 days to expiry)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INVESTMENT PORTFOLIO —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HUB24 platform holdings (31 Jan 2026):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Total value:                             $297,420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VAS (AU equities):                       52.2% of portfolio (TARGET: 40%)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VGS (Intl equities):                     34.1% (TARGET: 35%)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VAF (Fixed interest):                    12.8% (TARGET: 15%)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Cash:                                    0.9% (TARGET: 10%)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Performance (1 year to 31 Jan 2026):       +10.1%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Portfolio overweight in Australian equities (+12.2% variance)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and underweight in cash (-9.1% variance). Consider rebalancing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as Client 1 approaches retirement (18 months out).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FEES &amp; CHARGES —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Ongoing advice fee:                        NOT SPECIFIED in available documents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Confirm whether DBFO consent is in place and fee amount agreed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RETIREMENT INCOME PROJECTION —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Current liquid retirement savings:         ~$1,227,920 (super + investments + cash)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Property asset (not included in drawdown): $1,250,000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At age 60 (July 2027):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Projected income (5% drawdown):          ~$58,000 p.a. from super/investments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Potential employment income:             $0–$100,000+ (if part-time work continues)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At age 65 (July 2032):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Projected income:                        ~$68,000 p.a.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Status:                                  Transition to Age Pension planning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At age 67 (July 2034):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Centrelink eligibility:                  Age Pension available (subject to asset test)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Current asset levels:                    ~$1.1M liquid + $1.25M property (borderline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for Age Pension means testing; home exempt)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CENTRELINK PROJECTION OVERDUE: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File notes indicate Centrelink Age Pension projection was due 30 June 2025.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As of 31 January 2026, this remains outstanding. Recommend completion before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March 2026 review to ensure Client 1 understands full retirement income picture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(super + investments + Centrelink at age 67).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INSURANCE STATUS &amp; PROTECTION GAP ASSESSMENT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— COMPREHENSIVE INSURANCE PROTECTION ASSESSMENT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 PROTECTION STATUS: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Life insurance:           $300,000 held via UniSuper (group cover, employer-funded)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TPD insurance:            Not held (only basic UniSuper TPD coverage)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Income protection:        $10,000/month via MLC policy (expires 30 April 2026)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ASSESSMENT: PARTIALLY COVERED WITH CRITICAL EXPIRY RISK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Life and TPD cover exists via super (no-cost via employer)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Income protection provides meaningful protection ($10K/mth to age 65)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✗ HOWEVER: IP policy expires in 91 days with no renewal confirmation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✗ Given workplace restructure rumours, loss of IP cover creates material gap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✗ Replacement cover at age 57–58 post-expiry would be significantly more expensive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or unavailable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RECOMMENDATION SUMMARY —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Priority 1: URGENT – Confirm IP policy renewal/replacement decision before April 30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(see ISSUE 2 for detail)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Priority 2: IMPORTANT – Discuss whether to maintain high ($10K/mth) benefit level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post-retirement, or reduce coverage at age 60 (may allow cost savings)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Priority 3: REVIEW – Evaluate TPD cover adequacy; current cover limited to UniSuper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basic coverage only (no standalone TPD)</w:t>
      </w:r>
    </w:p>
    <w:p>
      <w:r>
        <w:br w:type="page"/>
      </w:r>
    </w:p>
    <w:p>
      <w:pPr>
        <w:pStyle w:val="Heading1"/>
        <w:spacing w:after="200" w:before="20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Appendix C: Action Items &amp; Timeline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ACTION ITEMS – PRIORITY &amp; DELEGATION SUMMARY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IMMEDIATE ACTIONS (This Week – by 7 February 2026)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[URGENT]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Item 1: Contact Client 1 Re: Unresponsiveness + Confirm Meeting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Responsible: Adviser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Telephone call to Client 1 (NOT email) to re-establish contact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Verify current contact details are correct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Confirm whether Client 1 is available for 18 March 2026 review meeting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If confirming meeting: "We have several important items to cover, including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your income protection renewal (expires April 30) and TTR implementation."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If not available: Reschedule; try to move earlier (into February) if possible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If not reachable: Document contact attempt and follow up in 2–3 days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Create file note documenting contact outcome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Deadline: 7 February 2026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Client 1 meeting confirmed OR documented attempted contact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[URGENT]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Item 2: Urgent Outreach Re: Concessional Contribution Breach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calculations,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communication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Responsible: Adviser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Prepare written summary of excess contribution issue: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Total contributions: $47,425 vs cap $30,000 = $17,425 excess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Tax treatment: Assessed income at marginal rate (estimated $2,100–$2,600 after offset)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Carry-forward eligibility: NOT AVAILABLE (total super $800K &gt; $500K threshold)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Contact Client 1 by phone (after Item 1 contact) to discuss: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Confirm she's aware of excess from UniSuper statement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Explain tax consequences and estimated liability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Ask whether ATO has already issued assessment notice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Discuss options: refund application, payment plan for tax liability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Request prior FY statements (FY2023–24, FY2022–23) to verify no prior breaches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Document discussion in comprehensive file note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Deadline: 14 February 2026 (one week after first contact)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Client 1 aware of breach + initial remediation plan discussed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[URGENT]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Item 3: IP Policy Renewal – Secure Decision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Responsible: Adviser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During phone contact with Client 1 (Item 1):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"Your MLC IP policy expires 30 April. I need to know: do you want to renew,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replace with a different product, or let it lapse? Given the workplace situation,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is important timing."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If Client 1 decides to renew: Begin MLC renewal process immediately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Obtain renewal quote (premium likely to increase at age 58)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Present alternatives if MLC not competitive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Target: Submit application by 31 March 2026 (30-day buffer)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If Client 1 decides to let lapse: Get explicit confirmation + reason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Document decision and Client 1's rationale in file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Explain implications: Cannot re-obtain cover later without underwriting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If Client 1 uncertain: Schedule dedicated IP discussion for March 2026 review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Provide comparison of renewal vs lapse scenarios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Factor in redundancy risk timing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Deadline: 21 March 2026 (before 30 April expiry; allow 6-week processing window)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IP renewal decision confirmed + application submitted OR explicit lapse decision documented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THIS_WEEK ACTIONS (By 14 February 2026)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[IMPORTANT] Item 4: Obtain Prior Year Superannuation Statements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data extraction,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analysis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Responsible: Adviser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Request from Client 1: FY2023–24 and FY2022–23 AustralianSuper + BT Super statements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Once received: Review contribution history in each year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Identify: Were there prior-year breaches of concessional cap?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Cross-reference: Any ATO notices or assessment correspondence?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Compile summary of all excess contributions (if any) across 3-year period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Prepare for Client 1 discussion at March 2026 review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Deadline: 28 February 2026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Prior statements obtained + excess contribution history verified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[IMPORTANT] Item 5: Prepare Centrelink Age Pension Projection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data gathering,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interpretation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Responsible: Adviser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Obtain Client 1's current asset statement (as at 31 January 2026)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Compile: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Total super: $800,000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Liquid investments: $297,420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Term deposits: $85,000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Cash: $130,500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Property: $1,250,000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Total: ~$2,562,920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Contact Services Australia (or use online calculator) to obtain Age Pension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eligibility and benefit projection at age 67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Factor in asset test implications (home exempt; $1.1M liquid may reduce pension)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Prepare written summary for Client 1 (target: Age Pension income estimate at 67)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Deadline: 28 February 2026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Age Pension projection completed and ready for March 2026 review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[IMPORTANT] Item 6: Prepare TTR Implementation Materials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(routine admin),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(strategy discussion)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Responsible: Adviser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Review September 2025 ROA to confirm TTR recommendation details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Obtain current UniSuper TTR commencement requirements + documentation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Prepare visual timeline showing: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Current situation (age 57, accumulation phase)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TTR commencement (age 60, July 2027)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Minimum pension draw amounts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Continued salary sacrifice opportunity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Tax savings estimate ($3,800–$5,200 p.a.)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Prepare "what if redundancy occurs" scenario: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Tax-free redundancy threshold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Non-concessional contribution capacity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Impact on TTR eligibility + tax efficiency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Have implementation forms ready for Client 1 to take away (if she confirms decision)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Deadline: 14 March 2026 (before 18 March review)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TTR presentation materials prepared + ready for review discussion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NEXT_REVIEW ACTIONS (18 March 2026 Review Meeting + Following)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[URGENT]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Item 7: Conduct Comprehensive Annual Review Meeting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+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(product selection, advice)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Responsible: Adviser + Client 1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Meeting format: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Type:       Comprehensive Annual Review (2–2.5 hours recommended)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Attendees:  Client 1, Adviser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Date:       18 March 2026 (CONFIRMATION PENDING)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Location:   Phone or in-person (TBD with Client 1)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Agenda (in priority order):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1. URGENT: Concessional contribution breach + tax remediation (30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Present excess contribution analysis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Discuss ATO remediation pathway (if applicable)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Confirm FY2025–26 contribution strategy (continue salary sacrifice or suspend?)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2. URGENT: IP policy renewal decision + implementation (30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Present renewal quote (if obtained) vs alternative products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Discuss premium cost implications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If proceeding: collect signed application forms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3. IMPORTANT: TTR strategy confirmation + implementation (30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Review September ROA + recommendation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Discuss workplace restructure status + redundancy scenario (if relevant)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Obtain written confirmation (email) to implement TTR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Explain implementation timeline (2–4 weeks to UniSuper)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4. IMPORTANT: Centrelink Age Pension planning (20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Present Age Pension eligibility projection at age 67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Discuss combined retirement income (super + investments + pension)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Clarify asset test implications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5. IMPORTANT: Estate planning &amp; beneficiary nomination (10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Discuss importance of will given $2.5M asset base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Recommend will preparation via solicitor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Offer solicitor referral if interested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6. ROUTINE: Portfolio review &amp; rebalancing (15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Review HUB24 allocation (currently overweight AU equities)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Present rebalancing proposal if needed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Confirm Client 1 approval before executing trades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7. ROUTINE: Superannuation consolidation discussion (10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Revisit BT Super consolidation benefits (~$1,500–$2,000 p.a. fee savings)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Respect Client 1's prior preference but ensure she understands cost/benefit tradeoff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8. ADMINISTRATIVE: DBFO consent + fee arrangement (5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Confirm ongoing fee arrangement (amount TBD once verified)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Obtain written consent if needed for next 12-month cycle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All 8 agenda items discussed; Client 1 decisions documented;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 items assigned with clear deadlines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[IMPORTANT] Item 8: Execute IP Policy Renewal (if Client 1 decides to proceed)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(document preparation),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(product selection)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Responsible: Adviser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 (if Client 1 confirms renewal):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Obtain signed application form + health questionnaire from Client 1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Submit to MLC (or alternative insurer if replacement chosen)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Track application status (target: approval by 30 April 2026 expiry)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Provide Client 1 with policy summary + cover confirmation once approved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Document policy details on file (policy number, premium, benefit, start date)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Timeline: Before 30 April 2026 expiry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IP renewal or replacement cover established and active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[IMPORTANT] Item 9: Facilitate TTR Implementation (if Client 1 confirms decision)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(strategy confirmation),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(implementation)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Responsible: Adviser + Client 1 + UniSuper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 (if Client 1 confirms decision):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Obtain written confirmation from Client 1 (email to adviser is sufficient)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Prepare TTR rollover instructions to UniSuper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Provide Client 1 with UniSuper TTR election form + pension commencement documentation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Support Client 1 through form completion (can provide brief explanation)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Submit completed forms to UniSuper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Track processing status (typically 2–4 weeks)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Confirm TTR pension established with Client 1 once UniSuper completes setup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Provide summary of new account structure (TTR account separate from accumulation)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Timeline: Submission by June 2026; completion by July 2027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TTR pension established at age 60 (July 2027); first pension payment received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[IMPORTANT] Item 10: Complete Centrelink Age Pension Projection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(calculation),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(review)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Responsible: Adviser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If projection prepared pre-review: Present findings to Client 1 at March meeting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If projection delayed: Complete post-review and send to Client 1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Ensure Client 1 understands: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Projected Age Pension amount at age 67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Asset test implications (how liquid assets reduce pension)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Combined retirement income picture (super drawdown + pension)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Timing of Centrelink application process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Timeline: Before or at 18 March 2026 review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Client 1 has clear understanding of Age Pension entitlement at retirement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[REVIEW] Item 11: Estate Planning Referral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(legal advice is solicitor territory)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Responsible: Adviser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 (post-review):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If Client 1 interested: Provide referral to trusted solicitor for will preparation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Suggest will should include: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Estate distribution (property, investments, super benefits)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Executor nomination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Any specific wishes or charitable donations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No urgency given age and no dependants, but recommend within 12 months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At future reviews: Verify will is on file and up to date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Timeline: Referral by June 2026; will completion by December 2026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Will prepared and confirmed on file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[ROUTINE] Item 12: Portfolio Rebalancing (if needed)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Delegation: </w:t>
      </w: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(allocation drift calculation), </w:t>
      </w: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(rebalancing decision)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Responsible: Adviser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Current allocation: AU equities 52.2% (target 40%), Intl equities 34.1%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(target 35%), Fixed interest 12.8% (target 15%), Cash 0.9% (target 10%)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Variance: AU equities overweight by 12.2%; cash underweight by 9.1%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Recommendation: Consider selling ~$25,000–$30,000 AU equities (VAS) + buying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fixed interest (VAF) and increasing cash allocation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Discuss with Client 1: approach to rebalancing as retirement approaches (18 months out)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If approved: Execute rebalancing and confirm completion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Timeline: Before 30 June 2026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Success measure: Portfolio brought into or closer to target allocation bands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SUGGESTED MEETING AGENDA &amp; TALKING POINTS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RECOMMENDED MEETING FORMAT: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Type:           Comprehensive Annual Review (2–2.5 hours recommended)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Attendees:      Client 1, Adviser (Adviser 1)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Location:       Phone or in-person (to be confirmed with Client 1)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Date:           18 March 2026 (CONFIRMATION PENDING)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MEETING OPENING (5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Welcome and check-in: "Good to catch up. How have you been?"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Agenda overview: "We've got quite a bit to cover today given we're now less than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18 months from your retirement target. Let's work through the priorities."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□ Set expectations: "This should take about 2 hours. We'll cover your super strategy,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insurance, and some planning topics. Sound OK?"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━━━━━━━━━━━━━━━━━━━━━━━━━━━━━━━━━━━━━━━━━━━━━━━━━━━━━━━━━━━━━━━━━━━━━━━━━━━━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SECTION 1: CONCESSIONAL CONTRIBUTIONS (30 minutes) —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[URGENT]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Context Setting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 want to start with something that came up in your UniSuper statement. You may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have seen a note about your contributions for the year."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"Your statement shows you contributed $47,425 to super in the last financial year,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which exceeded the annual cap of $30,000 by about $17,400."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"This isn't a crisis, but we do need to discuss the tax implications and what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we do going forward."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Explanation of Excess (10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"Here's what happened: You contributed $22,425 in employer SG plus $25,000 in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salary sacrifice. That's a total of $47,425."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"The government allows you to contribute up to $30,000 per year in concessional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(pre-tax) contributions. Anything above that gets included in your taxable income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at your marginal tax rate."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"There's something called 'carry-forward' that would normally let you use unused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cap space from prior years, but it only works if your total super is under $500,000.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Your super is $800,000, so carry-forward doesn't apply to you."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"That means the $17,425 excess gets treated as assessable income. At your tax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bracket (around 39% including Medicare Levy), you're looking at a tax bill of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roughly $2,100 to $2,600 after the 15% offset for tax already paid on the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contribution."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Remediation Discussion (10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"A few questions: Did you get a letter from the ATO about this? Have they issued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 assessment?"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"Second: Did you know the excess was coming when you made the salary sacrifice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decision, or was it a surprise?"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"If the ATO hasn't assessed it yet, we can prepare a refund claim, which might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reduce your net tax impact a bit. If they've already assessed it, we'll work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with your accountant on the payment."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Going Forward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"For the next financial year [FY2025–26], we have a choice. We can either: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(a) Continue the $25,000 salary sacrifice, knowing there will be another excess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and another tax bill, or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(b) Reduce salary sacrifice to stay within the cap — maybe $7,000–$8,000 instead.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What's your thinking on that?"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━━━━━━━━━━━━━━━━━━━━━━━━━━━━━━━━━━━━━━━━━━━━━━━━━━━━━━━━━━━━━━━━━━━━━━━━━━━━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SECTION 2: INCOME PROTECTION INSURANCE (30 minutes) — </w:t>
      </w: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[URGENT]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Context Setting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"Next item is your income protection policy. You've got the MLC policy with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$10,000 a month benefit, which has been really solid coverage for you."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"But here's the thing — that policy expires on 30 April. That's about 3 months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from now. We need to make a decision about renewal."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Current Cover &amp; Rationale (10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"The policy covers you until age 65, which is beyond your retirement target of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age 60. The monthly benefit of $10,000 covers most of your salary. The premium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is $342 a month, which is pretty reasonable for the cover level."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"Given that there've been rumours about restructuring at work, having this cover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is actually quite important right now. If anything happened health-wise and you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couldn't work, the policy would replace your income."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"And honestly, if we let it lapse and then you wanted to get new cover later,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it would be much more expensive or potentially unavailable at age 58–59."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Renewal Options &amp; Costs (10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"I've checked with MLC. The renewal premium will be a bit higher than the current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$342 — probably in the $380–$420 range per month. That's typical as you get older."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"We can also look at alternative providers if you want to compare. Some people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reduce the benefit amount as they get closer to retirement to bring costs down."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"Or if you're pretty confident you won't need it, we can let it lapse. But I'd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want to make sure you've thought through the implications."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Decision Request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"So here's what I need from you: Do you want to (a) renew the policy, (b) look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at alternatives, or (c) let it lapse?"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"If it's (a) or (b), I can get the paperwork moving this week and we'd have cover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sorted before the April 30 deadline."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"If it's (c), I'm going to ask you to confirm that in writing so we've got it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documented."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━━━━━━━━━━━━━━━━━━━━━━━━━━━━━━━━━━━━━━━━━━━━━━━━━━━━━━━━━━━━━━━━━━━━━━━━━━━━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SECTION 3: TRANSITION TO RETIREMENT STRATEGY (30 minutes) — [IMPORTANT]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Context Setting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"Now let's talk about your retirement plan. We prepared a recommendation back in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September about implementing a Transition to Retirement strategy. You got the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Record of Advice. Have you had a chance to read through it?"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"This is important because we're now 18 months out from your target retirement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at age 60 in July 2027. TTR is the tax-efficient path for that, so we need to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get this locked in."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How TTR Works (10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"Quick recap of TTR: At age 60, you can start drawing income from your UniSuper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account through a special pension called a 'Transition to Retirement' pension."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"Here's what's nice about it: You can keep working (full-time or part-time),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you can keep salary sacrificing to save more super, and the income you draw from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pension is taxed at the concessional rate of 15% instead of your normal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marginal rate."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"The estimated tax savings are $3,800 to $5,200 per year. So if you transition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to part-time work and draw a TTR pension, you're keeping significantly more of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what you earn."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"Pension payments start within 2–4 weeks of UniSuper processing the forms, and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you're in control of the timing. You can literally set it up in June 2027 and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start receiving payments in July when you turn 60."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Workplace Uncertainty (10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"You mentioned in September that there might be restructuring at work. Has anything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firmed up on that front?"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 ask because if you do end up with a redundancy, that actually works well with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TTR planning. A genuine redundancy payment (up to a certain limit) is tax-free,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and you can direct that to super in a tax-effective way."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"So whether it's restructure or not, TTR is still the right strategy for you.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It gives you flexibility either way."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Decision &amp; Implementation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"Are you ready to move forward? I'll need you to give me the OK in writing (email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is fine), and then I'll coordinate with UniSuper to get the paperwork rolling."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"Timeline: If you confirm in March, we can have everything ready to implement by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June 2027, well before your July birthday."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"Any questions about how it works or any concerns?"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━━━━━━━━━━━━━━━━━━━━━━━━━━━━━━━━━━━━━━━━━━━━━━━━━━━━━━━━━━━━━━━━━━━━━━━━━━━━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SECTION 4: CENTRELINK AGE PENSION PLANNING (20 minutes) — [IMPORTANT]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Context Setting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"Let me walk you through the full retirement income picture, including Centrelink."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"We've done the projection for what you'll receive from super and investments.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But from age 67, you become eligible for the Age Pension, and that changes things."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Retirement Income Projection (15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"Right now, here's what we're looking at: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At age 60 (July 2027): You can draw about $58,000 a year from your super and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investments. That's from the TTR pension plus whatever you draw from your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investment portfolio.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From age 65 onward: If you're still working part-time, you could have even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more from salary + TTR + super contributions.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From age 67: You're eligible for the Age Pension.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"Now, the Age Pension does have an asset test. The government looks at your total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assets and says, 'OK, you've got enough to live on, so we'll top up your income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only to a certain level.'"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"Your current liquid assets are about $1.1 million, plus your property of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$1.25 million. The property is exempt from the asset test (your home doesn't count),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but the $1.1 million does."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"Based on the current asset limits, you're probably going to be just over the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threshold for the full Age Pension. But here's the good news: Every dollar you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withdraw from super between 60 and 67, you're reducing your assets for means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testing purposes. So there's a strategic benefit to drawing down super before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Age Pension kicks in."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"I've got a formal projection here. It shows you'll have roughly [X amount] in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Age Pension by age 67, plus your remaining super income. Combined, you're looking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at a secure retirement income well above $60,000–$70,000 a year."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Planning Discussion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"The key takeaway: You've got three income streams in retirement — super, investments,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and eventually Age Pension. The combination is solid. You won't run out of money."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"We should revisit the Age Pension details once you're closer to 67, but for now,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you can feel confident about your retirement date of age 60."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━━━━━━━━━━━━━━━━━━━━━━━━━━━━━━━━━━━━━━━━━━━━━━━━━━━━━━━━━━━━━━━━━━━━━━━━━━━━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SECTION 5: ESTATE PLANNING &amp; BENEFICIARY NOMINATION (10 minutes) — [IMPORTANT]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Context Setting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"One more thing I want to touch on. You've got about $2.5 million in assets — your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property, super, investments. I'd recommend having a will that covers how all of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that gets handled if something were to happen."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"Right now, your super has a non-binding nomination to your estate. That's not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ideal long-term. And I don't see a will on file."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Will Recommendation (5 min):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"I'd suggest you see a solicitor — doesn't need to be complicated or expensive —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and get a will prepared. It should cover: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Who inherits your property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How your investments are distributed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Who manages the estate (executor)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Any specific wishes you have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"With a will in place, you can also consider upgrading your super beneficiary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nomination to a binding one if you want certainty. Though honestly, non-binding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nomination + a valid will achieves pretty much the same thing with more flexibility."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"This isn't urgent given your age and health, but I'd recommend getting it done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within the next 6–12 months. I can provide you with a couple of solicitor referrals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if you'd like."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SECTION 6: PORTFOLIO REVIEW &amp; REBALANCING (15 minutes) — [ROUTINE]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Opening: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"Your HUB24 portfolio had a solid year — up about 10% to $297,000. That's good."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"But we're seeing a bit of drift in your asset allocation. Let me walk you through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it and a rebalancing suggestion."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Current vs Target Allocation: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"Current: You're 52% in Australian shares, 34% international shares, 13% fixed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interest, and less than 1% cash."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"Target for your moderate risk profile: 40% Australian, 35% international, 15%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fixed interest, 10% cash."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"The drift: Australian shares are overweight by about 12%, cash is way underweight."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"This happened because Australian shares had a good year and grew faster than other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asset classes. That's actually a good problem to have! But with 18 months to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retirement, we want to protect some gains and shift a bit toward defensive assets."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Rebalancing Proposal: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"I'd recommend selling some of the Australian shares (maybe $25,000–$30,000) and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buying some fixed interest and increasing cash. This brings us closer to target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and reduces volatility as you approach retirement."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"Tax impact: Minimal, because we're just rebalancing within your existing portfolio.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Your accountant can confirm with me on the CGT treatment if needed."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"Are you comfortable with that approach?"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"If yes: I'll execute this within the next week and send you confirmation."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"If no or uncertain: We can table it and revisit at the next review, but I'd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recommend doing it sooner rather than later given the timeline."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SECTION 7: SUPERANNUATION CONSOLIDATION (10 minutes) — [ROUTINE]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Opening: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"Quick note on your super structure. You've got $680,000 in UniSuper and $120,000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 BT Super. Both are good funds, but having two funds means you're paying two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sets of admin fees."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"We estimated the dual-fund cost at around $1,500–$2,000 per year extra."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Consolidation Benefit: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"If you consolidated BT Super into UniSuper, you'd simplify the admin, have one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login, one statement, and save on fees."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 know you've mentioned preferring to keep UniSuper separate for loyalty reasons,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and I respect that. But I want to make sure you're aware of the cost benefit."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Decision: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"Want to think about it? Or would you prefer to consolidate? Or stick with the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 quo?"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"No judgment — just want to make sure you're making an informed choice."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SECTION 8: DBFO CONSENT &amp; FEE ARRANGEMENT (5 minutes) — [ADMINISTRATIVE]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Opening: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"Finally, a piece of admin. Your ongoing advice fee arrangement expires [DATE].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 need to confirm you're happy to continue with the arrangement for the next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12 months."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"The ongoing fee of $[AMOUNT] covers your annual review, quarterly monitoring,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ad-hoc advice, and access to the portal."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Fee Discussion: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"Are you happy with how the advice is going? Anything you'd like me to do differently?"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"If you're good to go, I'll send you a renewal consent form to sign before the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expiry date."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MEETING CLOSING (5 minutes)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Recap: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"OK, let me summarize what we've covered: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1. Concessional contributions excess — we'll work with your accountant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2. IP insurance renewal — you'll confirm your decision by [DATE]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3. TTR strategy — you'll confirm to move forward; I'll coordinate with UniSuper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4. Centrelink planning — you've got a solid retirement income path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5. Estate planning — you'll look into will preparation with a solicitor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6. Portfolio rebalancing — we'll execute if you approve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7. Ongoing fee consent — we'll get that sorted before [DATE]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 Item Ownership: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"Here's who's doing what: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You: Confirm IP renewal decision, will preparation, TTR go-ahead (email is fine)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Me: Execute rebalancing, coordinate TTR with UniSuper, get fee consent ready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– Both: Follow up post-review on any outstanding items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Next Steps: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"I'll email you a summary of this meeting within 5 business days."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"Next review will be in 12 months (around March 2027), but call me if anything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changes in the interim — especially if that workplace restructure situation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becomes clearer."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"Thanks for your engagement. You're in a really strong position for retirement."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FOOTER &amp; DISCLAIMERS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BRIEF PREPARATION NOTES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brief was prepared on 31 January 2026 for internal adviser use. It consolidates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information from multiple source documents (fact find, statements, correspondence,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prior advice) as at 31 January 2026. It is not a Statement of Advice and does not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constitute personal financial advice.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DELEGATION TAG DEFINITIONS (Per Practice Config)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16A34A"/>
          <w:sz w:val="18"/>
          <w:szCs w:val="18"/>
        </w:rPr>
        <w:t xml:space="preserve">[AI-VERIFIED]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Meaning: Mechanical calculation verified by AI. These figures can be directly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trusted for numbers, dates, calculations, and document extractions.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Examples: Contribution cap calculations, age calculations, fee amounts, policy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dates, balance figures from official statements.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Meaning: AI has identified a compliance or planning issue; planner must assess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severity, materiality, and recommended action. AI provides the facts; planner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makes the judgment call.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Examples: Risk assessment of insurance gaps, prioritisation of action items,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determining whether information is stale or current, interpreting client intent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from file notes.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DC2626"/>
          <w:sz w:val="18"/>
          <w:szCs w:val="18"/>
        </w:rPr>
        <w:t xml:space="preserve">[HUMAN-ONLY] 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Meaning: Professional judgment only. This is advice or decision territory that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requires the adviser's expertise and cannot be automated.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Examples: Product selection, insurance needs assessment approval, investment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strategy decisions, client communication, TTR implementation decisions, fee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negotiations, estate planning advice.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BRIEF VALIDITY &amp; REFRESH CYCLE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brief is valid for the 2026 annual review cycle (ending 31 March 2026). It should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be refreshed if: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Client circumstances change materially before review (workplace changes, income,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health)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Market conditions shift significantly (interest rates, asset valuations)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Regulatory changes occur (super cap changes, DBFO updates)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• Client explicitly requests early review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brief does not reflect client feedback or outcome tracking from prior reviews.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For feedback integration, refer to practice feedback tracking system (quarterly alignment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review per config, drift threshold = 3 issues).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DOCUMENT REFERENCES (All redacted versions)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Source documents read for this brief: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practice_intent.yaml (config version 1.0)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Client 1_FactFind.txt (18 March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Client 1_FileNotes.txt (18 March 2025 + 22 Sep 2025 + ongoing)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Client 1_UniSuper_Statement.txt (15 August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Client 1_BT Super (balance cited in fact find; statement not provided)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Client 1_ROA.txt (25 September 2025 – TTR recommendation)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Client 1_Emails.txt (26 Sep – 10 Jan 2026 thread)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Client 1_Portfolio.txt (HUB24 report, 31 January 2026)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CONTACT FOR UPDATES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brief was prepared by AI analysis of Client 1 file (redacted version).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For updates, corrections, or requests for additional analysis, contact: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Adviser: Adviser 1 (Senior Financial Adviser)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Practice: DBFO Financial Planning, Horizon Wealth Group (AR-001234)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REGULATORY DISCLAIMERS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brief is prepared under the Delivering Better Financial Outcomes Act 2024 (DBFO)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 accordance with the adviser's obligation to maintain documentation of advice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preparation and compliance monitoring.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It is not a Statement of Advice (SOA). Individual recommendations require separate SOA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preparation with full disclosure, replacement analysis, and personal financial advice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statements.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Past performance of investments is not a reliable indicator of future performance.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brief contains general commentary on the client's situation; specific investment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advice requires separate written SOA.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Clients should seek independent legal advice on wills, estate planning, and conveyancing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matters. This brief does not constitute legal advice.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Clients should consult their accountant on all tax matters. Contribution cap analysis,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excess contribution treatment, and Centrelink eligibility are general in nature; specific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tax advice requires professional tax consultation.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CONFIG VERSION &amp; NEXT REVIEW DATE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Practice Intent Configuration:     v1.0 (dated 2025-10-15)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Brief Prepared:                    31 January 2026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Next Review Target:                18 March 2026 (annual planning cycle)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Brief Type:                         Annual Comprehensive Review (with 5 priority issues)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END OF REVIEW BRIEF</w:t>
      </w:r>
    </w:p>
    <w:p>
      <w:r>
        <w:br w:type="page"/>
      </w:r>
    </w:p>
    <w:p>
      <w:pPr>
        <w:pStyle w:val="Heading1"/>
        <w:spacing w:after="200" w:before="200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Appendix D: Compliance Status &amp; References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COMPLIANCE STATUS &amp; CRITICAL DATES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DBFO ACT COMPLIANCE (Delivering Better Financial Outcomes Act 2024)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Current Fee Consent:</w:t>
      </w:r>
    </w:p>
    <w:p>
      <w:pPr>
        <w:spacing w:after="20" w:before="20"/>
        <w:ind w:left="36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DBFO consent status NOT specified in available documents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Recommend: Verify whether valid written consent is on file, expiry date, and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fee amount agreed. If consent expired or missing, this is a compliance breach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requiring immediate remedy.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SUPERANNUATION COMPLIANCE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Contribution Cap Status (FY2024–25):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✗ BREACH CONFIRMED: $47,425 concessional contributions vs $30,000 cap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✗ Excess: $17,425 (58% overage)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✗ Carry-forward NOT available (total super $800K exceeds $500K threshold)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✗ Estimated tax liability: $2,100–$2,600 after 15% offset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 REQUIRED: Urgent client contact to confirm carry-forward ineligibility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and discuss tax remediation (see ISSUE 1 for detail)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INSURANCE POLICY RENEWAL &amp; EXPIRY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MLC Income Protection Policy: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⚠ Expiry date:            30 April 2026 (91 days from 31 January 2026)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⚠ Status:                 ACTIVE – renewal decision required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⚠ Urgency:                CRITICAL given workplace restructure risk + TTR timing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 REQUIRED: Contact Client 1 immediately to confirm renewal/replacement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decision (see ISSUE 2 for detail)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REVIEW TIMELINE COMPLIANCE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Last comprehensive review:          18 March 2025 (initial fact find + review)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Review gap:                         10.4 months (within acceptable 12-month cycle)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Next review (scheduled):            18 March 2026 (to align with annual planning cycle)</w:t>
      </w:r>
    </w:p>
    <w:p>
      <w:pPr>
        <w:spacing w:after="20" w:before="20"/>
      </w:pPr>
      <w:r>
        <w:rPr>
          <w:rFonts w:ascii="Arial" w:cs="Arial" w:eastAsia="Arial" w:hAnsi="Arial"/>
          <w:b/>
          <w:bCs/>
          <w:color w:val="EA580C"/>
          <w:sz w:val="18"/>
          <w:szCs w:val="18"/>
        </w:rPr>
        <w:t xml:space="preserve">[PLANNER-REVIEW] </w:t>
      </w:r>
      <w:r>
        <w:rPr>
          <w:rFonts w:ascii="Arial" w:cs="Arial" w:eastAsia="Arial" w:hAnsi="Arial"/>
          <w:color w:val="333333"/>
          <w:sz w:val="18"/>
          <w:szCs w:val="18"/>
        </w:rPr>
        <w:t xml:space="preserve"> This review appointment has NOT YET BEEN CONFIRMED with Client 1.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ACTION: Obtain Client 1 confirmation of 18 March 2026 meeting before end of February.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CENTRELINK PROJECTION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Age Pension eligibility projection:  Due 30 June 2025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Status:                             OVERDUE as of 31 January 2026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Materiality:                         IMPORTANT – Client 1's asset levels are borderline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for Age Pension means testing; clarity needed for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retirement income planning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ACTION: Complete Centrelink projection before 18 March 2026 review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RETIREMENT GOAL TIMELINE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 1 target retirement age:      60 years old (July 2027)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Time remaining from 31 January 2026: 18 months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TTR strategy implementation required by: June 2027 (12 months out, allowing 6-month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implementation buffer)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Critical milestones: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- 30 April 2026:  IP policy expiry (91 days)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- 18 March 2026:  Annual review meeting (CONFIRMATION PENDING)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June 2026:      TTR implementation decision needed by this date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- July 2027:      Target retirement date + age 60 threshold for TTR commencement</w:t>
      </w:r>
    </w:p>
    <w:p>
      <w:pPr>
        <w:spacing w:before="200"/>
      </w:pP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DOCUMENT REFERENCES (All redacted versions)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Source documents read for this brief: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practice_intent.yaml (config version 1.0)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Client 1_FactFind.txt (18 March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Client 1_FileNotes.txt (18 March 2025 + 22 Sep 2025 + ongoing)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Client 1_UniSuper_Statement.txt (15 August 2025)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Client 1_BT Super (balance cited in fact find; statement not provided)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Client 1_ROA.txt (25 September 2025 – TTR recommendation)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Client 1_Emails.txt (26 Sep – 10 Jan 2026 thread)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✓ Client 1_Portfolio.txt (HUB24 report, 31 January 2026)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CONTACT FOR UPDATES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brief was prepared by AI analysis of Client 1 file (redacted version).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For updates, corrections, or requests for additional analysis, contact: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Adviser: Adviser 1 (Senior Financial Adviser)</w:t>
      </w:r>
    </w:p>
    <w:p>
      <w:pPr>
        <w:spacing w:after="20" w:before="20"/>
        <w:ind w:left="36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Practice: DBFO Financial Planning, Horizon Wealth Group (AR-001234)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REGULATORY DISCLAIMERS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This brief is prepared under the Delivering Better Financial Outcomes Act 2024 (DBFO)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in accordance with the adviser's obligation to maintain documentation of advice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preparation and compliance monitoring.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It is not a Statement of Advice (SOA). Individual recommendations require separate SOA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preparation with full disclosure, replacement analysis, and personal financial advice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statements.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Past performance of investments is not a reliable indicator of future performance.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The brief contains general commentary on the client's situation; specific investment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advice requires separate written SOA.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Clients should seek independent legal advice on wills, estate planning, and conveyancing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matters. This brief does not constitute legal advice.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Clients should consult their accountant on all tax matters. Contribution cap analysis,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excess contribution treatment, and Centrelink eligibility are general in nature; specific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tax advice requires professional tax consultation.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CONFIG VERSION &amp; NEXT REVIEW DATE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Practice Intent Configuration:     v1.0 (dated 2025-10-15)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Brief Prepared:                    31 January 2026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Next Review Target:                18 March 2026 (annual planning cycle)</w:t>
      </w:r>
    </w:p>
    <w:p>
      <w:pPr>
        <w:spacing w:after="20" w:before="20"/>
      </w:pPr>
      <w:r>
        <w:rPr>
          <w:rFonts w:ascii="Arial" w:cs="Arial" w:eastAsia="Arial" w:hAnsi="Arial"/>
          <w:color w:val="333333"/>
          <w:sz w:val="18"/>
          <w:szCs w:val="18"/>
        </w:rPr>
        <w:t xml:space="preserve">Brief Type:                         Annual Comprehensive Review (with 5 priority issues)</w:t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1B2A4A"/>
          <w:sz w:val="20"/>
          <w:szCs w:val="20"/>
        </w:rPr>
        <w:t xml:space="preserve">END OF REVIEW BRIEF</w:t>
      </w:r>
    </w:p>
    <w:sectPr>
      <w:headerReference w:type="default" r:id="rId7"/>
      <w:footerReference w:type="default" r:id="rId8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b/>
        <w:bCs/>
        <w:color w:val="AAAAAA"/>
        <w:sz w:val="12"/>
        <w:szCs w:val="12"/>
      </w:rPr>
      <w:t xml:space="preserve">CONFIDENTIAL — </w:t>
    </w:r>
    <w:r>
      <w:rPr>
        <w:rFonts w:ascii="Arial" w:cs="Arial" w:eastAsia="Arial" w:hAnsi="Arial"/>
        <w:color w:val="AAAAAA"/>
        <w:sz w:val="12"/>
        <w:szCs w:val="12"/>
      </w:rPr>
      <w:t xml:space="preserve">DBFO Financial Planning — Page </w:t>
    </w:r>
    <w:r>
      <w:rPr>
        <w:rFonts w:ascii="Arial" w:cs="Arial" w:eastAsia="Arial" w:hAnsi="Arial"/>
        <w:color w:val="AAAAAA"/>
        <w:sz w:val="12"/>
        <w:szCs w:val="12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color w:val="AAAAAA"/>
        <w:sz w:val="14"/>
        <w:szCs w:val="14"/>
      </w:rPr>
      <w:t xml:space="preserve">Client 1 — Meeting Prep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24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180"/>
      <w:outlineLvl w:val="1"/>
    </w:pPr>
    <w:rPr>
      <w:rFonts w:ascii="Arial" w:cs="Arial" w:eastAsia="Arial" w:hAnsi="Arial"/>
      <w:b/>
      <w:bCs/>
      <w:color w:val="1B2A4A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2026-03-02T01:14:03.352Z</dcterms:created>
  <dcterms:modified xsi:type="dcterms:W3CDTF">2026-03-02T01:14:03.352Z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