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F4E79"/>
          <w:sz w:val="48"/>
          <w:szCs w:val="48"/>
        </w:rPr>
        <w:t xml:space="preserve">Practice Intent Configuration</w:t>
      </w:r>
    </w:p>
    <w:p>
      <w:pPr>
        <w:spacing w:after="100"/>
        <w:jc w:val="center"/>
      </w:pPr>
      <w:r>
        <w:rPr>
          <w:rFonts w:ascii="Arial" w:cs="Arial" w:eastAsia="Arial" w:hAnsi="Arial"/>
          <w:b/>
          <w:bCs/>
          <w:color w:val="CC0000"/>
          <w:sz w:val="32"/>
          <w:szCs w:val="32"/>
        </w:rPr>
        <w:t xml:space="preserve">EDIT THIS DOCUMENT</w:t>
      </w:r>
    </w:p>
    <w:p>
      <w:pPr>
        <w:spacing w:after="600"/>
        <w:jc w:val="center"/>
      </w:pPr>
      <w:r>
        <w:rPr>
          <w:rFonts w:ascii="Arial" w:cs="Arial" w:eastAsia="Arial" w:hAnsi="Arial"/>
          <w:color w:val="666666"/>
          <w:sz w:val="24"/>
          <w:szCs w:val="24"/>
        </w:rPr>
        <w:t xml:space="preserve">Then run /change-intents to import your changes</w:t>
      </w:r>
    </w:p>
    <w:p>
      <w:pPr>
        <w:pBdr>
          <w:top w:val="single" w:color="1F4E79" w:sz="2"/>
          <w:left w:val="single" w:color="1F4E79" w:sz="2"/>
          <w:bottom w:val="single" w:color="1F4E79" w:sz="2"/>
          <w:right w:val="single" w:color="1F4E79" w:sz="2"/>
        </w:pBdr>
        <w:shd w:fill="D6E4F0" w:val="clear"/>
        <w:spacing w:after="120" w:before="200"/>
        <w:ind w:left="720" w:right="7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How to use: </w:t>
      </w:r>
      <w:r>
        <w:rPr>
          <w:rFonts w:ascii="Arial" w:cs="Arial" w:eastAsia="Arial" w:hAnsi="Arial"/>
          <w:sz w:val="22"/>
          <w:szCs w:val="22"/>
        </w:rPr>
        <w:t xml:space="preserve">Edit the tables below to match YOUR practice. Save this file. Run /change-intents in Claude to import your changes. The AI reads this document and updates practice_intent.yaml automatically.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Section 1: Practice Identity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Edit the values in the right column to match your practice.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Your Value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Practice Name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DBFO Financial Planning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AFSL Holder / Licensee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Horizon Wealth Group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AR Number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AR-001234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Primary Adviser Name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Sarah Mitchell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Specialisations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Comprehensive financial planning, Risk insurance, Retirement planning, Investment property strategy</w:t>
            </w:r>
          </w:p>
        </w:tc>
      </w:tr>
    </w:tbl>
    <w:p>
      <w:pPr>
        <w:spacing w:after="80"/>
      </w:pP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Section 2: Compliance Priority Hierarchy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Move items between tiers by cutting/pasting rows. Edit thresholds. Add new rows for custom priorities.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CRITICAL — Flagged prominently, tagged [URGENT]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800"/>
        <w:gridCol w:w="3226"/>
        <w:gridCol w:w="1800"/>
      </w:tblGrid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ID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Label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Threshold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dbfo_consent_expiry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DBFO consent expiry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fee consent approaching or past expiry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Within 90 days of expiry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excess_concessional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Excess concessional contributions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Concessional contributions exceed annual cap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Any amount over cap ($30,000 FY2025)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insurance_gap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Insurance coverage gap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Client has zero cover or significant underinsurance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Gap &gt;6 months without client declination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beneficiary_risk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Beneficiary nomination risk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Non-binding, lapsed, or missing beneficiary nomination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Any non-binding without confirmed will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overdue_review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Annual review overdue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Review not conducted within required timeframe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&gt;14 months since last review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unresponsive_client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Client non-responsive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Client not responding to contact attempts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&gt;60 days since last response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(add new item here)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8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IMPORTANT — Secondary priority, tagged [REVIEW]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800"/>
        <w:gridCol w:w="3226"/>
        <w:gridCol w:w="1800"/>
      </w:tblGrid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ID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Label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Threshold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portfolio_drift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Portfolio allocation drift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Actual allocation deviates from SOA targets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&gt;10% deviation in any asset class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fee_disclosure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Fee disclosure mismatch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Disclosed fees don't match calculated fees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&gt;5% variance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stale_docs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Stale documentation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Key documents significantly outdated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&gt;18 months since last update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ip_cover_renewal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IP cover renewal approaching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Income protection policy approaching renewal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Within 90 days of renewal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ip_cashflow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IP cash flow change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Upcoming changes to IP costs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Material change in next 12 months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(add new item here)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8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MONITOR — Noted for awareness, tagged [NOTE]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800"/>
        <w:gridCol w:w="3226"/>
        <w:gridCol w:w="1800"/>
      </w:tblGrid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ID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Label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Threshold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retirement_drift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Retirement projection drift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Projected retirement income deviates from target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&gt;10% variance from target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contribution_opt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Contribution cap under-utilisation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Unused concessional or non-concessional cap space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&gt;$5,000 unused cap space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(add new item here)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80"/>
      </w:pP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Section 3: Delegation Boundaries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Move items between tiers to match your comfort level. Think of it like briefing a new paraplanner.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AI-AUTONOMOUS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AI does this, you trust the output directly.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68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Tag</w:t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Scope Item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[AI-VERIFIED]</w:t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Date and age calculations from date of birth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Mathematical verification (contribution caps, fee calculations, portfolio totals)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Document summarisation and key data extraction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Cross-document consistency checks (same figure across multiple docs)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Timeline and deadline calculations (review due dates, policy expiry, DBFO consent dates)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Regulatory threshold comparisons (cap limits, review periods)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Identifying missing documents (e.g., no insurance policy on file)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SG rate verification against current statutory rate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Loan repayment calculations (P&amp;I vs I/O comparison)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(add new scope item here)</w:t>
            </w:r>
          </w:p>
        </w:tc>
      </w:tr>
    </w:tbl>
    <w:p>
      <w:pPr>
        <w:spacing w:after="8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PLANNER-IN-THE-LOOP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AI provides analysis, planner makes the final call.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68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Tag</w:t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Scope Item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[PLANNER-REVIEW]</w:t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Compliance risk severity assessment and rating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Action item prioritisation and urgency assignment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Insurance needs quantification and gap analysis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Client communication drafting and tone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Determining whether information is stale vs. still valid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Interpreting client intent from file notes and email threads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Assessing whether a discrepancy is material or immaterial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Evaluating whether carry-forward rules apply to contribution breaches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Determining if IP cash flow stress warrants a sell recommendation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(add new scope item here)</w:t>
            </w:r>
          </w:p>
        </w:tc>
      </w:tr>
    </w:tbl>
    <w:p>
      <w:pPr>
        <w:spacing w:after="8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PLANNER-ONLY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AI flags the need but will NOT conclude. Professional judgment only.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68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Tag</w:t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Scope Item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[HUMAN-ONLY]</w:t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Personal financial advice or product recommendations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SOA or ROA preparation and sign-off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Fee negotiations, changes, or consent discussions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Client risk profile assessment or changes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Binding nominations or legal documents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Investment strategy decisions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Insurance product selection or switching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Centrelink or aged care strategy advice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TTR strategy implementation decisions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Advice to hold, sell, or restructure investment property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(add new scope item here)</w:t>
            </w:r>
          </w:p>
        </w:tc>
      </w:tr>
    </w:tbl>
    <w:p>
      <w:pPr>
        <w:spacing w:after="80"/>
      </w:pP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Section 4: Decision Logic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Edit the Action column to change how the AI handles each situation. Add new rows for custom rules.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Conflict Resolution Rules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13"/>
        <w:gridCol w:w="5013"/>
      </w:tblGrid>
      <w:tr>
        <w:tc>
          <w:tcPr>
            <w:tcW w:type="dxa" w:w="4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Trigger</w:t>
            </w:r>
          </w:p>
        </w:tc>
        <w:tc>
          <w:tcPr>
            <w:tcW w:type="dxa" w:w="5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</w:tr>
      <w:tr>
        <w:tc>
          <w:tcPr>
            <w:tcW w:type="dxa" w:w="4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Risk profile vs. actual portfolio allocation mismatch</w:t>
            </w:r>
          </w:p>
        </w:tc>
        <w:tc>
          <w:tcPr>
            <w:tcW w:type="dxa" w:w="5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FLAG as priority issue. Do NOT recommend rebalancing. Note discrepancy and both data sources for planner discussion.</w:t>
            </w:r>
          </w:p>
        </w:tc>
      </w:tr>
      <w:tr>
        <w:tc>
          <w:tcPr>
            <w:tcW w:type="dxa" w:w="4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Client unresponsive for more than 60 days</w:t>
            </w:r>
          </w:p>
        </w:tc>
        <w:tc>
          <w:tcPr>
            <w:tcW w:type="dxa" w:w="5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Escalate as [URGENT]. Document all contact attempts. Note DBFO consent implications if renewal approaching.</w:t>
            </w:r>
          </w:p>
        </w:tc>
      </w:tr>
      <w:tr>
        <w:tc>
          <w:tcPr>
            <w:tcW w:type="dxa" w:w="4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Fee calculation discrepancy exceeds 5%</w:t>
            </w:r>
          </w:p>
        </w:tc>
        <w:tc>
          <w:tcPr>
            <w:tcW w:type="dxa" w:w="5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Flag as compliance risk. Show both figures with sources. Do NOT dismiss as rounding error.</w:t>
            </w:r>
          </w:p>
        </w:tc>
      </w:tr>
      <w:tr>
        <w:tc>
          <w:tcPr>
            <w:tcW w:type="dxa" w:w="4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Two documents show different values for same item</w:t>
            </w:r>
          </w:p>
        </w:tc>
        <w:tc>
          <w:tcPr>
            <w:tcW w:type="dxa" w:w="5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Use most recent document as primary. Note both sources and dates. If difference &gt;5%, classify as important.</w:t>
            </w:r>
          </w:p>
        </w:tc>
      </w:tr>
      <w:tr>
        <w:tc>
          <w:tcPr>
            <w:tcW w:type="dxa" w:w="4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Insurance gap but client previously declined cover</w:t>
            </w:r>
          </w:p>
        </w:tc>
        <w:tc>
          <w:tcPr>
            <w:tcW w:type="dxa" w:w="5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Still flag. Note previous declination with date/source. Recommend re-discussing if circumstances changed.</w:t>
            </w:r>
          </w:p>
        </w:tc>
      </w:tr>
      <w:tr>
        <w:tc>
          <w:tcPr>
            <w:tcW w:type="dxa" w:w="4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Contribution breach with possible carry-forward</w:t>
            </w:r>
          </w:p>
        </w:tc>
        <w:tc>
          <w:tcPr>
            <w:tcW w:type="dxa" w:w="5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Flag with [PLANNER-REVIEW]. Note carry-forward requires super &lt;$500K. Planner must verify.</w:t>
            </w:r>
          </w:p>
        </w:tc>
      </w:tr>
      <w:tr>
        <w:tc>
          <w:tcPr>
            <w:tcW w:type="dxa" w:w="4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I/O loan period expiring within 12 months</w:t>
            </w:r>
          </w:p>
        </w:tc>
        <w:tc>
          <w:tcPr>
            <w:tcW w:type="dxa" w:w="5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Calculate repayment difference and cash flow impact. Tag [PLANNER-REVIEW]. Hold/sell/refinance is [HUMAN-ONLY].</w:t>
            </w:r>
          </w:p>
        </w:tc>
      </w:tr>
      <w:tr>
        <w:tc>
          <w:tcPr>
            <w:tcW w:type="dxa" w:w="4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(add new rule here)</w:t>
            </w:r>
          </w:p>
        </w:tc>
        <w:tc>
          <w:tcPr>
            <w:tcW w:type="dxa" w:w="5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8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General Principles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Edit or add to these guiding principles.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Principle</w:t>
            </w:r>
          </w:p>
        </w:tc>
      </w:tr>
      <w:tr>
        <w:tc>
          <w:tcPr>
            <w:tcW w:type="dxa" w:w="9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Prioritise compliance risks over advice optimisation opportunities</w:t>
            </w:r>
          </w:p>
        </w:tc>
      </w:tr>
      <w:tr>
        <w:tc>
          <w:tcPr>
            <w:tcW w:type="dxa" w:w="9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When regulatory interpretation is ambiguous, flag for human review</w:t>
            </w:r>
          </w:p>
        </w:tc>
      </w:tr>
      <w:tr>
        <w:tc>
          <w:tcPr>
            <w:tcW w:type="dxa" w:w="9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Prefer false positives over false negatives (flag too much rather than miss something)</w:t>
            </w:r>
          </w:p>
        </w:tc>
      </w:tr>
      <w:tr>
        <w:tc>
          <w:tcPr>
            <w:tcW w:type="dxa" w:w="9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If unsure on urgency, classify one level higher</w:t>
            </w:r>
          </w:p>
        </w:tc>
      </w:tr>
      <w:tr>
        <w:tc>
          <w:tcPr>
            <w:tcW w:type="dxa" w:w="9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When client intent is unclear, note the ambiguity rather than inferring</w:t>
            </w:r>
          </w:p>
        </w:tc>
      </w:tr>
      <w:tr>
        <w:tc>
          <w:tcPr>
            <w:tcW w:type="dxa" w:w="9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DBFO compliance always takes precedence — never skip consent checks</w:t>
            </w:r>
          </w:p>
        </w:tc>
      </w:tr>
      <w:tr>
        <w:tc>
          <w:tcPr>
            <w:tcW w:type="dxa" w:w="9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(add new principle here)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Section 5: Output Preferences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Edit values to match your preferred brief format.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200"/>
        <w:gridCol w:w="40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Setting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Value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Brief Format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action-oriented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Options: action-oriented, comprehensive, summary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Max Priority Items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Top items to highlight per brief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Delegation Tags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[AI-VERIFIED], [PLANNER-REVIEW], [HUMAN-ONLY]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Regulatory References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DBFO Act, SIS Act, APPs citations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Talking Points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Suggested meeting agenda items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Financial Snapshot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Position summary table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Post-Meeting Feedback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Track brief accuracy via /feedback</w:t>
            </w:r>
          </w:p>
        </w:tc>
      </w:tr>
    </w:tbl>
    <w:p>
      <w:pPr>
        <w:spacing w:after="80"/>
      </w:pP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Urgency Categories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Label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Meaning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IMMEDIATE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Must address before or during this review meeting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THIS_WEEK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Action required within 5 business days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NEXT_REVIEW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Monitor and address at next scheduled review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(add category)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Section 6: Feedback &amp; Alignment</w:t>
      </w:r>
    </w:p>
    <w:p>
      <w:pPr>
        <w:spacing w:after="12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These metrics track whether the AI briefs are helping. Edit questions or add your own.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4826"/>
        <w:gridCol w:w="2200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 ID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Question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action_items_actioned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How many AI-suggested action items did you pursue?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percentage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missed_issues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Did you find issues the AI missed?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count_and_describe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false_alarms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Did the AI flag non-issues?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count_and_describe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urgency_accuracy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Was urgency classification correct?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rating_1_to_5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brief_usefulness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Overall, how useful was the brief?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rating_1_to_5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(add metric)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8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4026"/>
      </w:tblGrid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Setting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Value</w:t>
            </w:r>
          </w:p>
        </w:tc>
      </w:tr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Alignment Review Frequency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quarterly</w:t>
            </w:r>
          </w:p>
        </w:tc>
      </w:tr>
      <w:tr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Drift Threshold (triggers re-config)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999999"/>
        <w:sz w:val="16"/>
        <w:szCs w:val="16"/>
      </w:rPr>
      <w:t xml:space="preserve">Page </w:t>
    </w:r>
    <w:r>
      <w:rPr>
        <w:rFonts w:ascii="Arial" w:cs="Arial" w:eastAsia="Arial" w:hAnsi="Arial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999999"/>
        <w:sz w:val="16"/>
        <w:szCs w:val="16"/>
      </w:rPr>
      <w:t xml:space="preserve">  |  Save this file, then run /change-intents to import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color w:val="999999"/>
        <w:sz w:val="16"/>
        <w:szCs w:val="16"/>
      </w:rPr>
      <w:t xml:space="preserve">Practice Intent Configuration  |  EDIT THIS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1F4E79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2026-03-08T10:30:21.983Z</dcterms:created>
  <dcterms:modified xsi:type="dcterms:W3CDTF">2026-03-08T10:30:21.983Z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